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E1D" w:rsidRPr="002951AC" w:rsidRDefault="002951AC" w:rsidP="002951AC">
      <w:pPr>
        <w:jc w:val="both"/>
        <w:rPr>
          <w:rFonts w:asciiTheme="minorHAnsi" w:eastAsia="Arial" w:hAnsiTheme="minorHAnsi" w:cs="Arial"/>
          <w:sz w:val="18"/>
          <w:szCs w:val="18"/>
        </w:rPr>
      </w:pPr>
      <w:r w:rsidRPr="002951AC">
        <w:rPr>
          <w:rFonts w:asciiTheme="minorHAnsi" w:eastAsia="Arial" w:hAnsiTheme="minorHAnsi" w:cs="Arial"/>
          <w:sz w:val="18"/>
          <w:szCs w:val="18"/>
        </w:rPr>
        <w:t>Special Types of Liability</w:t>
      </w:r>
    </w:p>
    <w:p w:rsidR="002951AC" w:rsidRPr="002951AC" w:rsidRDefault="002951AC" w:rsidP="002951AC">
      <w:pPr>
        <w:jc w:val="both"/>
        <w:rPr>
          <w:rFonts w:asciiTheme="minorHAnsi" w:hAnsiTheme="minorHAnsi"/>
          <w:sz w:val="18"/>
          <w:szCs w:val="18"/>
        </w:rPr>
      </w:pPr>
    </w:p>
    <w:p w:rsidR="00033E1D" w:rsidRPr="002951AC" w:rsidRDefault="002951AC" w:rsidP="002951AC">
      <w:pPr>
        <w:jc w:val="both"/>
        <w:rPr>
          <w:rFonts w:asciiTheme="minorHAnsi" w:eastAsia="Arial" w:hAnsiTheme="minorHAnsi" w:cs="Arial"/>
          <w:sz w:val="18"/>
          <w:szCs w:val="18"/>
        </w:rPr>
      </w:pPr>
      <w:r w:rsidRPr="002951AC">
        <w:rPr>
          <w:rFonts w:asciiTheme="minorHAnsi" w:eastAsia="Arial" w:hAnsiTheme="minorHAnsi" w:cs="Arial"/>
          <w:sz w:val="18"/>
          <w:szCs w:val="18"/>
        </w:rPr>
        <w:t>Under the law of negligence, there are several special types of liability. Each of the following groups is</w:t>
      </w:r>
      <w:r w:rsidRPr="002951AC">
        <w:rPr>
          <w:rFonts w:asciiTheme="minorHAnsi" w:eastAsia="Arial" w:hAnsiTheme="minorHAnsi" w:cs="Arial"/>
          <w:sz w:val="18"/>
          <w:szCs w:val="18"/>
        </w:rPr>
        <w:t xml:space="preserve"> subject to slightly different rules:</w:t>
      </w:r>
    </w:p>
    <w:p w:rsidR="002951AC" w:rsidRPr="002951AC" w:rsidRDefault="002951AC" w:rsidP="002951AC">
      <w:pPr>
        <w:jc w:val="both"/>
        <w:rPr>
          <w:rFonts w:asciiTheme="minorHAnsi" w:hAnsiTheme="minorHAnsi"/>
          <w:sz w:val="18"/>
          <w:szCs w:val="18"/>
        </w:rPr>
      </w:pPr>
    </w:p>
    <w:p w:rsidR="00033E1D" w:rsidRPr="002951AC" w:rsidRDefault="002951AC" w:rsidP="002951AC">
      <w:pPr>
        <w:numPr>
          <w:ilvl w:val="0"/>
          <w:numId w:val="1"/>
        </w:numPr>
        <w:ind w:hanging="360"/>
        <w:jc w:val="both"/>
        <w:rPr>
          <w:rFonts w:asciiTheme="minorHAnsi" w:hAnsiTheme="minorHAnsi"/>
          <w:sz w:val="18"/>
          <w:szCs w:val="18"/>
        </w:rPr>
      </w:pPr>
      <w:r w:rsidRPr="002951AC">
        <w:rPr>
          <w:rFonts w:asciiTheme="minorHAnsi" w:eastAsia="Arial" w:hAnsiTheme="minorHAnsi" w:cs="Arial"/>
          <w:sz w:val="18"/>
          <w:szCs w:val="18"/>
        </w:rPr>
        <w:t>Manufacturers</w:t>
      </w:r>
    </w:p>
    <w:p w:rsidR="00033E1D" w:rsidRPr="002951AC" w:rsidRDefault="002951AC" w:rsidP="002951AC">
      <w:pPr>
        <w:numPr>
          <w:ilvl w:val="0"/>
          <w:numId w:val="1"/>
        </w:numPr>
        <w:ind w:hanging="360"/>
        <w:jc w:val="both"/>
        <w:rPr>
          <w:rFonts w:asciiTheme="minorHAnsi" w:hAnsiTheme="minorHAnsi"/>
          <w:sz w:val="18"/>
          <w:szCs w:val="18"/>
        </w:rPr>
      </w:pPr>
      <w:r w:rsidRPr="002951AC">
        <w:rPr>
          <w:rFonts w:asciiTheme="minorHAnsi" w:eastAsia="Arial" w:hAnsiTheme="minorHAnsi" w:cs="Arial"/>
          <w:sz w:val="18"/>
          <w:szCs w:val="18"/>
        </w:rPr>
        <w:t>Property Owners</w:t>
      </w:r>
    </w:p>
    <w:p w:rsidR="00033E1D" w:rsidRPr="002951AC" w:rsidRDefault="002951AC" w:rsidP="002951AC">
      <w:pPr>
        <w:numPr>
          <w:ilvl w:val="0"/>
          <w:numId w:val="1"/>
        </w:numPr>
        <w:ind w:hanging="360"/>
        <w:jc w:val="both"/>
        <w:rPr>
          <w:rFonts w:asciiTheme="minorHAnsi" w:hAnsiTheme="minorHAnsi"/>
          <w:sz w:val="18"/>
          <w:szCs w:val="18"/>
        </w:rPr>
      </w:pPr>
      <w:r w:rsidRPr="002951AC">
        <w:rPr>
          <w:rFonts w:asciiTheme="minorHAnsi" w:eastAsia="Arial" w:hAnsiTheme="minorHAnsi" w:cs="Arial"/>
          <w:sz w:val="18"/>
          <w:szCs w:val="18"/>
        </w:rPr>
        <w:t>People who serve Alcohol</w:t>
      </w:r>
    </w:p>
    <w:p w:rsidR="00033E1D" w:rsidRPr="002951AC" w:rsidRDefault="002951AC" w:rsidP="002951AC">
      <w:pPr>
        <w:numPr>
          <w:ilvl w:val="0"/>
          <w:numId w:val="1"/>
        </w:numPr>
        <w:ind w:hanging="360"/>
        <w:jc w:val="both"/>
        <w:rPr>
          <w:rFonts w:asciiTheme="minorHAnsi" w:hAnsiTheme="minorHAnsi"/>
          <w:sz w:val="18"/>
          <w:szCs w:val="18"/>
        </w:rPr>
      </w:pPr>
      <w:r w:rsidRPr="002951AC">
        <w:rPr>
          <w:rFonts w:asciiTheme="minorHAnsi" w:eastAsia="Arial" w:hAnsiTheme="minorHAnsi" w:cs="Arial"/>
          <w:sz w:val="18"/>
          <w:szCs w:val="18"/>
        </w:rPr>
        <w:t>Car and Pet Owners</w:t>
      </w:r>
    </w:p>
    <w:p w:rsidR="00033E1D" w:rsidRPr="002951AC" w:rsidRDefault="002951AC" w:rsidP="002951AC">
      <w:pPr>
        <w:numPr>
          <w:ilvl w:val="0"/>
          <w:numId w:val="1"/>
        </w:numPr>
        <w:ind w:hanging="360"/>
        <w:jc w:val="both"/>
        <w:rPr>
          <w:rFonts w:asciiTheme="minorHAnsi" w:hAnsiTheme="minorHAnsi"/>
          <w:sz w:val="18"/>
          <w:szCs w:val="18"/>
        </w:rPr>
      </w:pPr>
      <w:r w:rsidRPr="002951AC">
        <w:rPr>
          <w:rFonts w:asciiTheme="minorHAnsi" w:eastAsia="Arial" w:hAnsiTheme="minorHAnsi" w:cs="Arial"/>
          <w:sz w:val="18"/>
          <w:szCs w:val="18"/>
        </w:rPr>
        <w:t>Those who work with materials that could pollute environment</w:t>
      </w:r>
    </w:p>
    <w:p w:rsidR="00033E1D" w:rsidRPr="002951AC" w:rsidRDefault="00033E1D" w:rsidP="002951AC">
      <w:pPr>
        <w:jc w:val="both"/>
        <w:rPr>
          <w:rFonts w:asciiTheme="minorHAnsi" w:hAnsiTheme="minorHAnsi"/>
          <w:sz w:val="18"/>
          <w:szCs w:val="18"/>
        </w:rPr>
      </w:pPr>
    </w:p>
    <w:p w:rsidR="00033E1D" w:rsidRPr="002951AC" w:rsidRDefault="002951AC" w:rsidP="002951AC">
      <w:pPr>
        <w:ind w:left="1440" w:hanging="1440"/>
        <w:jc w:val="both"/>
        <w:rPr>
          <w:rFonts w:asciiTheme="minorHAnsi" w:hAnsiTheme="minorHAnsi"/>
          <w:sz w:val="18"/>
          <w:szCs w:val="18"/>
        </w:rPr>
      </w:pPr>
      <w:r w:rsidRPr="002951AC">
        <w:rPr>
          <w:rFonts w:asciiTheme="minorHAnsi" w:eastAsia="Arial" w:hAnsiTheme="minorHAnsi" w:cs="Arial"/>
          <w:sz w:val="18"/>
          <w:szCs w:val="18"/>
        </w:rPr>
        <w:t>Product Liability:</w:t>
      </w:r>
      <w:r w:rsidRPr="002951AC">
        <w:rPr>
          <w:rFonts w:asciiTheme="minorHAnsi" w:eastAsia="Arial" w:hAnsiTheme="minorHAnsi" w:cs="Arial"/>
          <w:sz w:val="18"/>
          <w:szCs w:val="18"/>
        </w:rPr>
        <w:tab/>
      </w:r>
      <w:r w:rsidRPr="002951AC">
        <w:rPr>
          <w:rFonts w:asciiTheme="minorHAnsi" w:eastAsia="Arial" w:hAnsiTheme="minorHAnsi" w:cs="Arial"/>
          <w:sz w:val="18"/>
          <w:szCs w:val="18"/>
        </w:rPr>
        <w:t>The area of law that deals with negligence on the part of manufacturers. Manufacturers have to meet a high standard of care in order to prevent injury to consumers who use the</w:t>
      </w:r>
      <w:r w:rsidRPr="002951AC">
        <w:rPr>
          <w:rFonts w:asciiTheme="minorHAnsi" w:eastAsia="Arial" w:hAnsiTheme="minorHAnsi" w:cs="Arial"/>
          <w:sz w:val="18"/>
          <w:szCs w:val="18"/>
        </w:rPr>
        <w:t>ir products.</w:t>
      </w:r>
    </w:p>
    <w:p w:rsidR="00033E1D" w:rsidRPr="002951AC" w:rsidRDefault="00033E1D"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To meet that standard, manufacturers have to make sure that:</w:t>
      </w:r>
    </w:p>
    <w:p w:rsidR="00033E1D" w:rsidRPr="002951AC" w:rsidRDefault="00033E1D" w:rsidP="002951AC">
      <w:pPr>
        <w:jc w:val="both"/>
        <w:rPr>
          <w:rFonts w:asciiTheme="minorHAnsi" w:hAnsiTheme="minorHAnsi"/>
          <w:sz w:val="18"/>
          <w:szCs w:val="18"/>
        </w:rPr>
      </w:pPr>
    </w:p>
    <w:p w:rsidR="00033E1D" w:rsidRPr="002951AC" w:rsidRDefault="002951AC" w:rsidP="002951AC">
      <w:pPr>
        <w:numPr>
          <w:ilvl w:val="0"/>
          <w:numId w:val="2"/>
        </w:numPr>
        <w:ind w:hanging="360"/>
        <w:jc w:val="both"/>
        <w:rPr>
          <w:rFonts w:asciiTheme="minorHAnsi" w:hAnsiTheme="minorHAnsi"/>
          <w:sz w:val="18"/>
          <w:szCs w:val="18"/>
        </w:rPr>
      </w:pPr>
      <w:r w:rsidRPr="002951AC">
        <w:rPr>
          <w:rFonts w:asciiTheme="minorHAnsi" w:eastAsia="Arial" w:hAnsiTheme="minorHAnsi" w:cs="Arial"/>
          <w:sz w:val="18"/>
          <w:szCs w:val="18"/>
        </w:rPr>
        <w:t>T</w:t>
      </w:r>
      <w:r w:rsidRPr="002951AC">
        <w:rPr>
          <w:rFonts w:asciiTheme="minorHAnsi" w:eastAsia="Arial" w:hAnsiTheme="minorHAnsi" w:cs="Arial"/>
          <w:sz w:val="18"/>
          <w:szCs w:val="18"/>
        </w:rPr>
        <w:t>he design of the product is free from harmful defects</w:t>
      </w:r>
    </w:p>
    <w:p w:rsidR="00033E1D" w:rsidRPr="002951AC" w:rsidRDefault="002951AC" w:rsidP="002951AC">
      <w:pPr>
        <w:numPr>
          <w:ilvl w:val="0"/>
          <w:numId w:val="2"/>
        </w:numPr>
        <w:ind w:hanging="360"/>
        <w:jc w:val="both"/>
        <w:rPr>
          <w:rFonts w:asciiTheme="minorHAnsi" w:hAnsiTheme="minorHAnsi"/>
          <w:sz w:val="18"/>
          <w:szCs w:val="18"/>
        </w:rPr>
      </w:pPr>
      <w:r w:rsidRPr="002951AC">
        <w:rPr>
          <w:rFonts w:asciiTheme="minorHAnsi" w:eastAsia="Arial" w:hAnsiTheme="minorHAnsi" w:cs="Arial"/>
          <w:sz w:val="18"/>
          <w:szCs w:val="18"/>
        </w:rPr>
        <w:t>T</w:t>
      </w:r>
      <w:r w:rsidRPr="002951AC">
        <w:rPr>
          <w:rFonts w:asciiTheme="minorHAnsi" w:eastAsia="Arial" w:hAnsiTheme="minorHAnsi" w:cs="Arial"/>
          <w:sz w:val="18"/>
          <w:szCs w:val="18"/>
        </w:rPr>
        <w:t>he product is properly manufactured</w:t>
      </w:r>
    </w:p>
    <w:p w:rsidR="00033E1D" w:rsidRPr="002951AC" w:rsidRDefault="002951AC" w:rsidP="002951AC">
      <w:pPr>
        <w:numPr>
          <w:ilvl w:val="0"/>
          <w:numId w:val="2"/>
        </w:numPr>
        <w:ind w:hanging="360"/>
        <w:jc w:val="both"/>
        <w:rPr>
          <w:rFonts w:asciiTheme="minorHAnsi" w:hAnsiTheme="minorHAnsi"/>
          <w:sz w:val="18"/>
          <w:szCs w:val="18"/>
        </w:rPr>
      </w:pPr>
      <w:r w:rsidRPr="002951AC">
        <w:rPr>
          <w:rFonts w:asciiTheme="minorHAnsi" w:eastAsia="Arial" w:hAnsiTheme="minorHAnsi" w:cs="Arial"/>
          <w:sz w:val="18"/>
          <w:szCs w:val="18"/>
        </w:rPr>
        <w:t>T</w:t>
      </w:r>
      <w:r w:rsidRPr="002951AC">
        <w:rPr>
          <w:rFonts w:asciiTheme="minorHAnsi" w:eastAsia="Arial" w:hAnsiTheme="minorHAnsi" w:cs="Arial"/>
          <w:sz w:val="18"/>
          <w:szCs w:val="18"/>
        </w:rPr>
        <w:t>he consumer is informed about how to use the product safely</w:t>
      </w:r>
    </w:p>
    <w:p w:rsidR="00033E1D" w:rsidRPr="002951AC" w:rsidRDefault="002951AC" w:rsidP="002951AC">
      <w:pPr>
        <w:numPr>
          <w:ilvl w:val="0"/>
          <w:numId w:val="2"/>
        </w:numPr>
        <w:ind w:hanging="360"/>
        <w:jc w:val="both"/>
        <w:rPr>
          <w:rFonts w:asciiTheme="minorHAnsi" w:hAnsiTheme="minorHAnsi"/>
          <w:sz w:val="18"/>
          <w:szCs w:val="18"/>
        </w:rPr>
      </w:pPr>
      <w:r w:rsidRPr="002951AC">
        <w:rPr>
          <w:rFonts w:asciiTheme="minorHAnsi" w:eastAsia="Arial" w:hAnsiTheme="minorHAnsi" w:cs="Arial"/>
          <w:sz w:val="18"/>
          <w:szCs w:val="18"/>
        </w:rPr>
        <w:t>T</w:t>
      </w:r>
      <w:r w:rsidRPr="002951AC">
        <w:rPr>
          <w:rFonts w:asciiTheme="minorHAnsi" w:eastAsia="Arial" w:hAnsiTheme="minorHAnsi" w:cs="Arial"/>
          <w:sz w:val="18"/>
          <w:szCs w:val="18"/>
        </w:rPr>
        <w:t>he consumer is warned of</w:t>
      </w:r>
      <w:r w:rsidRPr="002951AC">
        <w:rPr>
          <w:rFonts w:asciiTheme="minorHAnsi" w:eastAsia="Arial" w:hAnsiTheme="minorHAnsi" w:cs="Arial"/>
          <w:sz w:val="18"/>
          <w:szCs w:val="18"/>
        </w:rPr>
        <w:t xml:space="preserve"> risks associated with using the product</w:t>
      </w:r>
    </w:p>
    <w:p w:rsidR="00033E1D" w:rsidRPr="002951AC" w:rsidRDefault="00033E1D" w:rsidP="002951AC">
      <w:pPr>
        <w:jc w:val="both"/>
        <w:rPr>
          <w:rFonts w:asciiTheme="minorHAnsi" w:hAnsiTheme="minorHAnsi"/>
          <w:sz w:val="18"/>
          <w:szCs w:val="18"/>
        </w:rPr>
      </w:pPr>
    </w:p>
    <w:p w:rsidR="00033E1D" w:rsidRPr="002951AC" w:rsidRDefault="002951AC" w:rsidP="002951AC">
      <w:pPr>
        <w:spacing w:after="240"/>
        <w:jc w:val="both"/>
        <w:rPr>
          <w:rFonts w:asciiTheme="minorHAnsi" w:hAnsiTheme="minorHAnsi"/>
          <w:sz w:val="18"/>
          <w:szCs w:val="18"/>
        </w:rPr>
      </w:pPr>
      <w:r w:rsidRPr="002951AC">
        <w:rPr>
          <w:rFonts w:asciiTheme="minorHAnsi" w:eastAsia="Arial" w:hAnsiTheme="minorHAnsi" w:cs="Arial"/>
          <w:sz w:val="18"/>
          <w:szCs w:val="18"/>
        </w:rPr>
        <w:t>Occupier’s Liability:</w:t>
      </w:r>
      <w:r w:rsidRPr="002951AC">
        <w:rPr>
          <w:rFonts w:asciiTheme="minorHAnsi" w:eastAsia="Arial" w:hAnsiTheme="minorHAnsi" w:cs="Arial"/>
          <w:sz w:val="18"/>
          <w:szCs w:val="18"/>
        </w:rPr>
        <w:t xml:space="preserve"> The responsibility of owners or renters to ensure that no one entering their premise is injured.</w:t>
      </w:r>
    </w:p>
    <w:p w:rsidR="00033E1D" w:rsidRPr="002951AC" w:rsidRDefault="002951AC" w:rsidP="002951AC">
      <w:pPr>
        <w:spacing w:after="240"/>
        <w:jc w:val="both"/>
        <w:rPr>
          <w:rFonts w:asciiTheme="minorHAnsi" w:hAnsiTheme="minorHAnsi"/>
          <w:sz w:val="18"/>
          <w:szCs w:val="18"/>
        </w:rPr>
      </w:pPr>
      <w:r w:rsidRPr="002951AC">
        <w:rPr>
          <w:rFonts w:asciiTheme="minorHAnsi" w:eastAsia="Arial" w:hAnsiTheme="minorHAnsi" w:cs="Arial"/>
          <w:sz w:val="18"/>
          <w:szCs w:val="18"/>
        </w:rPr>
        <w:t>Invitee:</w:t>
      </w:r>
      <w:r w:rsidRPr="002951AC">
        <w:rPr>
          <w:rFonts w:asciiTheme="minorHAnsi" w:eastAsia="Arial" w:hAnsiTheme="minorHAnsi" w:cs="Arial"/>
          <w:sz w:val="18"/>
          <w:szCs w:val="18"/>
        </w:rPr>
        <w:t xml:space="preserve"> A person invited onto the property for a business purpose (pizza delivery, landscaper, mail carrier</w:t>
      </w:r>
      <w:r w:rsidRPr="002951AC">
        <w:rPr>
          <w:rFonts w:asciiTheme="minorHAnsi" w:eastAsia="Arial" w:hAnsiTheme="minorHAnsi" w:cs="Arial"/>
          <w:sz w:val="18"/>
          <w:szCs w:val="18"/>
        </w:rPr>
        <w:t>)</w:t>
      </w:r>
    </w:p>
    <w:p w:rsidR="00033E1D" w:rsidRPr="002951AC" w:rsidRDefault="002951AC" w:rsidP="002951AC">
      <w:pPr>
        <w:spacing w:after="240"/>
        <w:jc w:val="both"/>
        <w:rPr>
          <w:rFonts w:asciiTheme="minorHAnsi" w:hAnsiTheme="minorHAnsi"/>
          <w:sz w:val="18"/>
          <w:szCs w:val="18"/>
        </w:rPr>
      </w:pPr>
      <w:r w:rsidRPr="002951AC">
        <w:rPr>
          <w:rFonts w:asciiTheme="minorHAnsi" w:eastAsia="Arial" w:hAnsiTheme="minorHAnsi" w:cs="Arial"/>
          <w:sz w:val="18"/>
          <w:szCs w:val="18"/>
        </w:rPr>
        <w:t>Licensee:</w:t>
      </w:r>
      <w:r w:rsidRPr="002951AC">
        <w:rPr>
          <w:rFonts w:asciiTheme="minorHAnsi" w:eastAsia="Arial" w:hAnsiTheme="minorHAnsi" w:cs="Arial"/>
          <w:sz w:val="18"/>
          <w:szCs w:val="18"/>
        </w:rPr>
        <w:t xml:space="preserve"> A person with expressed or implied permission to pay a social visit. (</w:t>
      </w:r>
      <w:proofErr w:type="gramStart"/>
      <w:r w:rsidRPr="002951AC">
        <w:rPr>
          <w:rFonts w:asciiTheme="minorHAnsi" w:eastAsia="Arial" w:hAnsiTheme="minorHAnsi" w:cs="Arial"/>
          <w:sz w:val="18"/>
          <w:szCs w:val="18"/>
        </w:rPr>
        <w:t>friend</w:t>
      </w:r>
      <w:proofErr w:type="gramEnd"/>
      <w:r w:rsidRPr="002951AC">
        <w:rPr>
          <w:rFonts w:asciiTheme="minorHAnsi" w:eastAsia="Arial" w:hAnsiTheme="minorHAnsi" w:cs="Arial"/>
          <w:sz w:val="18"/>
          <w:szCs w:val="18"/>
        </w:rPr>
        <w:t>, family)</w:t>
      </w: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Trespasser:</w:t>
      </w:r>
      <w:r w:rsidRPr="002951AC">
        <w:rPr>
          <w:rFonts w:asciiTheme="minorHAnsi" w:eastAsia="Arial" w:hAnsiTheme="minorHAnsi" w:cs="Arial"/>
          <w:sz w:val="18"/>
          <w:szCs w:val="18"/>
        </w:rPr>
        <w:t xml:space="preserve"> A person who enters another’s property without permission or legal right. (</w:t>
      </w:r>
      <w:proofErr w:type="gramStart"/>
      <w:r w:rsidRPr="002951AC">
        <w:rPr>
          <w:rFonts w:asciiTheme="minorHAnsi" w:eastAsia="Arial" w:hAnsiTheme="minorHAnsi" w:cs="Arial"/>
          <w:sz w:val="18"/>
          <w:szCs w:val="18"/>
        </w:rPr>
        <w:t>burglar</w:t>
      </w:r>
      <w:proofErr w:type="gramEnd"/>
      <w:r w:rsidRPr="002951AC">
        <w:rPr>
          <w:rFonts w:asciiTheme="minorHAnsi" w:eastAsia="Arial" w:hAnsiTheme="minorHAnsi" w:cs="Arial"/>
          <w:sz w:val="18"/>
          <w:szCs w:val="18"/>
        </w:rPr>
        <w:t>, stalker, vandal)</w:t>
      </w:r>
    </w:p>
    <w:p w:rsidR="00033E1D" w:rsidRPr="002951AC" w:rsidRDefault="00033E1D"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 xml:space="preserve">Allurement: </w:t>
      </w:r>
      <w:r w:rsidRPr="002951AC">
        <w:rPr>
          <w:rFonts w:asciiTheme="minorHAnsi" w:eastAsia="Arial" w:hAnsiTheme="minorHAnsi" w:cs="Arial"/>
          <w:sz w:val="18"/>
          <w:szCs w:val="18"/>
        </w:rPr>
        <w:t>A site or an object</w:t>
      </w:r>
      <w:r w:rsidRPr="002951AC">
        <w:rPr>
          <w:rFonts w:asciiTheme="minorHAnsi" w:eastAsia="Arial" w:hAnsiTheme="minorHAnsi" w:cs="Arial"/>
          <w:sz w:val="18"/>
          <w:szCs w:val="18"/>
        </w:rPr>
        <w:t xml:space="preserve"> that might attract children and result in causing them </w:t>
      </w:r>
      <w:proofErr w:type="gramStart"/>
      <w:r w:rsidRPr="002951AC">
        <w:rPr>
          <w:rFonts w:asciiTheme="minorHAnsi" w:eastAsia="Arial" w:hAnsiTheme="minorHAnsi" w:cs="Arial"/>
          <w:sz w:val="18"/>
          <w:szCs w:val="18"/>
        </w:rPr>
        <w:t>harm</w:t>
      </w:r>
      <w:proofErr w:type="gramEnd"/>
      <w:r w:rsidRPr="002951AC">
        <w:rPr>
          <w:rFonts w:asciiTheme="minorHAnsi" w:eastAsia="Arial" w:hAnsiTheme="minorHAnsi" w:cs="Arial"/>
          <w:sz w:val="18"/>
          <w:szCs w:val="18"/>
        </w:rPr>
        <w:t xml:space="preserve"> (Pool).</w:t>
      </w:r>
    </w:p>
    <w:p w:rsidR="00033E1D" w:rsidRPr="002951AC" w:rsidRDefault="00033E1D"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Occupiers must take all reasonable precautions to protect children who could be lured to their premises.</w:t>
      </w:r>
    </w:p>
    <w:p w:rsidR="00033E1D" w:rsidRPr="002951AC" w:rsidRDefault="00033E1D"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Host:</w:t>
      </w:r>
      <w:r w:rsidRPr="002951AC">
        <w:rPr>
          <w:rFonts w:asciiTheme="minorHAnsi" w:eastAsia="Arial" w:hAnsiTheme="minorHAnsi" w:cs="Arial"/>
          <w:sz w:val="18"/>
          <w:szCs w:val="18"/>
        </w:rPr>
        <w:t xml:space="preserve"> Someone who serves alcohol to guests or paying customers.</w:t>
      </w:r>
    </w:p>
    <w:p w:rsidR="00033E1D" w:rsidRPr="002951AC" w:rsidRDefault="00033E1D"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May be commercial hosts, such as a bar or restaurant</w:t>
      </w: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May be social hosts, such as h</w:t>
      </w:r>
      <w:r w:rsidRPr="002951AC">
        <w:rPr>
          <w:rFonts w:asciiTheme="minorHAnsi" w:eastAsia="Arial" w:hAnsiTheme="minorHAnsi" w:cs="Arial"/>
          <w:sz w:val="18"/>
          <w:szCs w:val="18"/>
        </w:rPr>
        <w:t>aving a party and serving alcohol</w:t>
      </w:r>
    </w:p>
    <w:p w:rsidR="00033E1D" w:rsidRPr="002951AC" w:rsidRDefault="00033E1D"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 xml:space="preserve">Commercial hosts have a statutory duty of care to their patrons and to anyone who may be injured by their patrons’ negligent driving.  </w:t>
      </w:r>
    </w:p>
    <w:p w:rsidR="00033E1D" w:rsidRPr="002951AC" w:rsidRDefault="00033E1D"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i/>
          <w:sz w:val="18"/>
          <w:szCs w:val="18"/>
        </w:rPr>
        <w:t>If a bar owner serves alcohol to a patron whose negligence causes an accident while driving home, the bar owner may be liable for the injuries suffered by the patron as well as those suffered by other victims of the accident.)</w:t>
      </w:r>
    </w:p>
    <w:p w:rsidR="00033E1D" w:rsidRPr="002951AC" w:rsidRDefault="00033E1D"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Vicarious Liabil</w:t>
      </w:r>
      <w:r w:rsidRPr="002951AC">
        <w:rPr>
          <w:rFonts w:asciiTheme="minorHAnsi" w:eastAsia="Arial" w:hAnsiTheme="minorHAnsi" w:cs="Arial"/>
          <w:sz w:val="18"/>
          <w:szCs w:val="18"/>
        </w:rPr>
        <w:t xml:space="preserve">ity: </w:t>
      </w:r>
      <w:r w:rsidRPr="002951AC">
        <w:rPr>
          <w:rFonts w:asciiTheme="minorHAnsi" w:eastAsia="Arial" w:hAnsiTheme="minorHAnsi" w:cs="Arial"/>
          <w:sz w:val="18"/>
          <w:szCs w:val="18"/>
        </w:rPr>
        <w:t xml:space="preserve">a third party who is responsible for individuals acting on their behalf. </w:t>
      </w:r>
      <w:r w:rsidRPr="002951AC">
        <w:rPr>
          <w:rFonts w:asciiTheme="minorHAnsi" w:hAnsiTheme="minorHAnsi"/>
          <w:sz w:val="18"/>
          <w:szCs w:val="18"/>
        </w:rPr>
        <w:t xml:space="preserve">  This u</w:t>
      </w:r>
      <w:r w:rsidRPr="002951AC">
        <w:rPr>
          <w:rFonts w:asciiTheme="minorHAnsi" w:eastAsia="Arial" w:hAnsiTheme="minorHAnsi" w:cs="Arial"/>
          <w:sz w:val="18"/>
          <w:szCs w:val="18"/>
        </w:rPr>
        <w:t>sually applies in the workplace where employers can be held responsible for the actions of their employees.</w:t>
      </w:r>
    </w:p>
    <w:p w:rsidR="002951AC" w:rsidRPr="002951AC" w:rsidRDefault="002951AC" w:rsidP="002951AC">
      <w:pPr>
        <w:jc w:val="both"/>
        <w:rPr>
          <w:rFonts w:asciiTheme="minorHAnsi" w:hAnsiTheme="minorHAnsi"/>
          <w:sz w:val="18"/>
          <w:szCs w:val="18"/>
        </w:rPr>
      </w:pPr>
    </w:p>
    <w:p w:rsidR="002951AC" w:rsidRPr="002951AC" w:rsidRDefault="002951AC" w:rsidP="002951AC">
      <w:pPr>
        <w:jc w:val="both"/>
        <w:rPr>
          <w:rFonts w:asciiTheme="minorHAnsi" w:hAnsiTheme="minorHAnsi"/>
          <w:sz w:val="18"/>
          <w:szCs w:val="18"/>
        </w:rPr>
      </w:pPr>
    </w:p>
    <w:p w:rsidR="00033E1D" w:rsidRPr="002951AC" w:rsidRDefault="002951AC" w:rsidP="002951AC">
      <w:pPr>
        <w:jc w:val="both"/>
        <w:rPr>
          <w:rFonts w:asciiTheme="minorHAnsi" w:hAnsiTheme="minorHAnsi"/>
          <w:sz w:val="18"/>
          <w:szCs w:val="18"/>
        </w:rPr>
      </w:pPr>
      <w:r w:rsidRPr="002951AC">
        <w:rPr>
          <w:rFonts w:asciiTheme="minorHAnsi" w:eastAsia="Arial" w:hAnsiTheme="minorHAnsi" w:cs="Arial"/>
          <w:sz w:val="18"/>
          <w:szCs w:val="18"/>
        </w:rPr>
        <w:t>Strict Liability takes place when</w:t>
      </w:r>
      <w:r w:rsidRPr="002951AC">
        <w:rPr>
          <w:rFonts w:asciiTheme="minorHAnsi" w:eastAsia="Arial" w:hAnsiTheme="minorHAnsi" w:cs="Arial"/>
          <w:sz w:val="18"/>
          <w:szCs w:val="18"/>
        </w:rPr>
        <w:t xml:space="preserve"> a person/corporation is held responsible or liable for damages even though they were not negligent</w:t>
      </w:r>
    </w:p>
    <w:p w:rsidR="00033E1D" w:rsidRPr="002951AC" w:rsidRDefault="00033E1D" w:rsidP="002951AC">
      <w:pPr>
        <w:jc w:val="both"/>
        <w:rPr>
          <w:rFonts w:asciiTheme="minorHAnsi" w:hAnsiTheme="minorHAnsi"/>
          <w:sz w:val="18"/>
          <w:szCs w:val="18"/>
        </w:rPr>
      </w:pPr>
    </w:p>
    <w:p w:rsidR="00033E1D" w:rsidRPr="002951AC" w:rsidRDefault="002951AC" w:rsidP="002951AC">
      <w:pPr>
        <w:pStyle w:val="ListParagraph"/>
        <w:numPr>
          <w:ilvl w:val="0"/>
          <w:numId w:val="3"/>
        </w:numPr>
        <w:jc w:val="both"/>
        <w:rPr>
          <w:rFonts w:asciiTheme="minorHAnsi" w:hAnsiTheme="minorHAnsi"/>
          <w:sz w:val="18"/>
          <w:szCs w:val="18"/>
        </w:rPr>
      </w:pPr>
      <w:r w:rsidRPr="002951AC">
        <w:rPr>
          <w:rFonts w:asciiTheme="minorHAnsi" w:eastAsia="Arial" w:hAnsiTheme="minorHAnsi" w:cs="Arial"/>
          <w:sz w:val="18"/>
          <w:szCs w:val="18"/>
        </w:rPr>
        <w:t>I</w:t>
      </w:r>
      <w:r w:rsidRPr="002951AC">
        <w:rPr>
          <w:rFonts w:asciiTheme="minorHAnsi" w:eastAsia="Arial" w:hAnsiTheme="minorHAnsi" w:cs="Arial"/>
          <w:sz w:val="18"/>
          <w:szCs w:val="18"/>
        </w:rPr>
        <w:t>n common law, strict liability pertains to fires or vicious animals that might cause harm. It also applies in cases involving leaking toxic waste or the</w:t>
      </w:r>
      <w:r w:rsidRPr="002951AC">
        <w:rPr>
          <w:rFonts w:asciiTheme="minorHAnsi" w:eastAsia="Arial" w:hAnsiTheme="minorHAnsi" w:cs="Arial"/>
          <w:sz w:val="18"/>
          <w:szCs w:val="18"/>
        </w:rPr>
        <w:t xml:space="preserve"> escape of dangerous fumes</w:t>
      </w:r>
      <w:bookmarkStart w:id="0" w:name="_GoBack"/>
      <w:bookmarkEnd w:id="0"/>
    </w:p>
    <w:p w:rsidR="00033E1D" w:rsidRPr="002951AC" w:rsidRDefault="00033E1D" w:rsidP="002951AC">
      <w:pPr>
        <w:jc w:val="both"/>
        <w:rPr>
          <w:rFonts w:asciiTheme="minorHAnsi" w:hAnsiTheme="minorHAnsi"/>
          <w:sz w:val="18"/>
          <w:szCs w:val="18"/>
        </w:rPr>
      </w:pPr>
    </w:p>
    <w:p w:rsidR="00033E1D" w:rsidRPr="002951AC" w:rsidRDefault="002951AC" w:rsidP="002951AC">
      <w:pPr>
        <w:pStyle w:val="ListParagraph"/>
        <w:numPr>
          <w:ilvl w:val="0"/>
          <w:numId w:val="3"/>
        </w:numPr>
        <w:jc w:val="both"/>
        <w:rPr>
          <w:rFonts w:asciiTheme="minorHAnsi" w:hAnsiTheme="minorHAnsi"/>
          <w:sz w:val="18"/>
          <w:szCs w:val="18"/>
        </w:rPr>
      </w:pPr>
      <w:r w:rsidRPr="002951AC">
        <w:rPr>
          <w:rFonts w:asciiTheme="minorHAnsi" w:eastAsia="Arial" w:hAnsiTheme="minorHAnsi" w:cs="Arial"/>
          <w:sz w:val="18"/>
          <w:szCs w:val="18"/>
        </w:rPr>
        <w:t>Environmental protection acts often impose strict liability on the part of persons or municipalities whose actions result in pollution or damage to the natural environment</w:t>
      </w:r>
    </w:p>
    <w:p w:rsidR="00033E1D" w:rsidRPr="002951AC" w:rsidRDefault="00033E1D" w:rsidP="002951AC">
      <w:pPr>
        <w:jc w:val="both"/>
        <w:rPr>
          <w:rFonts w:asciiTheme="minorHAnsi" w:hAnsiTheme="minorHAnsi"/>
          <w:sz w:val="18"/>
          <w:szCs w:val="18"/>
        </w:rPr>
      </w:pPr>
    </w:p>
    <w:sectPr w:rsidR="00033E1D" w:rsidRPr="002951A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031"/>
    <w:multiLevelType w:val="hybridMultilevel"/>
    <w:tmpl w:val="10FE6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7745E5"/>
    <w:multiLevelType w:val="multilevel"/>
    <w:tmpl w:val="3A46EEF2"/>
    <w:lvl w:ilvl="0">
      <w:start w:val="1"/>
      <w:numFmt w:val="decimal"/>
      <w:lvlText w:val="%1."/>
      <w:lvlJc w:val="left"/>
      <w:pPr>
        <w:ind w:left="1080" w:firstLine="360"/>
      </w:pPr>
      <w:rPr>
        <w:vertAlign w:val="baseline"/>
      </w:rPr>
    </w:lvl>
    <w:lvl w:ilvl="1">
      <w:start w:val="1"/>
      <w:numFmt w:val="lowerLetter"/>
      <w:lvlText w:val="%2."/>
      <w:lvlJc w:val="left"/>
      <w:pPr>
        <w:ind w:left="1800" w:firstLine="1080"/>
      </w:pPr>
      <w:rPr>
        <w:vertAlign w:val="baseline"/>
      </w:rPr>
    </w:lvl>
    <w:lvl w:ilvl="2">
      <w:start w:val="1"/>
      <w:numFmt w:val="lowerRoman"/>
      <w:lvlText w:val="%3."/>
      <w:lvlJc w:val="right"/>
      <w:pPr>
        <w:ind w:left="2520" w:firstLine="1980"/>
      </w:pPr>
      <w:rPr>
        <w:vertAlign w:val="baseline"/>
      </w:rPr>
    </w:lvl>
    <w:lvl w:ilvl="3">
      <w:start w:val="1"/>
      <w:numFmt w:val="decimal"/>
      <w:lvlText w:val="%4."/>
      <w:lvlJc w:val="left"/>
      <w:pPr>
        <w:ind w:left="3240" w:firstLine="2520"/>
      </w:pPr>
      <w:rPr>
        <w:vertAlign w:val="baseline"/>
      </w:rPr>
    </w:lvl>
    <w:lvl w:ilvl="4">
      <w:start w:val="1"/>
      <w:numFmt w:val="lowerLetter"/>
      <w:lvlText w:val="%5."/>
      <w:lvlJc w:val="left"/>
      <w:pPr>
        <w:ind w:left="3960" w:firstLine="3240"/>
      </w:pPr>
      <w:rPr>
        <w:vertAlign w:val="baseline"/>
      </w:rPr>
    </w:lvl>
    <w:lvl w:ilvl="5">
      <w:start w:val="1"/>
      <w:numFmt w:val="lowerRoman"/>
      <w:lvlText w:val="%6."/>
      <w:lvlJc w:val="right"/>
      <w:pPr>
        <w:ind w:left="4680" w:firstLine="4140"/>
      </w:pPr>
      <w:rPr>
        <w:vertAlign w:val="baseline"/>
      </w:rPr>
    </w:lvl>
    <w:lvl w:ilvl="6">
      <w:start w:val="1"/>
      <w:numFmt w:val="decimal"/>
      <w:lvlText w:val="%7."/>
      <w:lvlJc w:val="left"/>
      <w:pPr>
        <w:ind w:left="5400" w:firstLine="4680"/>
      </w:pPr>
      <w:rPr>
        <w:vertAlign w:val="baseline"/>
      </w:rPr>
    </w:lvl>
    <w:lvl w:ilvl="7">
      <w:start w:val="1"/>
      <w:numFmt w:val="lowerLetter"/>
      <w:lvlText w:val="%8."/>
      <w:lvlJc w:val="left"/>
      <w:pPr>
        <w:ind w:left="6120" w:firstLine="5400"/>
      </w:pPr>
      <w:rPr>
        <w:vertAlign w:val="baseline"/>
      </w:rPr>
    </w:lvl>
    <w:lvl w:ilvl="8">
      <w:start w:val="1"/>
      <w:numFmt w:val="lowerRoman"/>
      <w:lvlText w:val="%9."/>
      <w:lvlJc w:val="right"/>
      <w:pPr>
        <w:ind w:left="6840" w:firstLine="6300"/>
      </w:pPr>
      <w:rPr>
        <w:vertAlign w:val="baseline"/>
      </w:rPr>
    </w:lvl>
  </w:abstractNum>
  <w:abstractNum w:abstractNumId="2">
    <w:nsid w:val="35E66B19"/>
    <w:multiLevelType w:val="multilevel"/>
    <w:tmpl w:val="D7FEACD0"/>
    <w:lvl w:ilvl="0">
      <w:start w:val="1"/>
      <w:numFmt w:val="bullet"/>
      <w:lvlText w:val="●"/>
      <w:lvlJc w:val="left"/>
      <w:pPr>
        <w:ind w:left="1080" w:firstLine="360"/>
      </w:pPr>
      <w:rPr>
        <w:rFonts w:ascii="Arial" w:eastAsia="Arial" w:hAnsi="Arial" w:cs="Arial"/>
        <w:vertAlign w:val="baseline"/>
      </w:rPr>
    </w:lvl>
    <w:lvl w:ilvl="1">
      <w:start w:val="1"/>
      <w:numFmt w:val="bullet"/>
      <w:lvlText w:val="o"/>
      <w:lvlJc w:val="left"/>
      <w:pPr>
        <w:ind w:left="1800" w:firstLine="1080"/>
      </w:pPr>
      <w:rPr>
        <w:rFonts w:ascii="Arial" w:eastAsia="Arial" w:hAnsi="Arial" w:cs="Arial"/>
        <w:vertAlign w:val="baseline"/>
      </w:rPr>
    </w:lvl>
    <w:lvl w:ilvl="2">
      <w:start w:val="1"/>
      <w:numFmt w:val="bullet"/>
      <w:lvlText w:val="▪"/>
      <w:lvlJc w:val="left"/>
      <w:pPr>
        <w:ind w:left="2520" w:firstLine="1800"/>
      </w:pPr>
      <w:rPr>
        <w:rFonts w:ascii="Arial" w:eastAsia="Arial" w:hAnsi="Arial" w:cs="Arial"/>
        <w:vertAlign w:val="baseline"/>
      </w:rPr>
    </w:lvl>
    <w:lvl w:ilvl="3">
      <w:start w:val="1"/>
      <w:numFmt w:val="bullet"/>
      <w:lvlText w:val="●"/>
      <w:lvlJc w:val="left"/>
      <w:pPr>
        <w:ind w:left="3240" w:firstLine="2520"/>
      </w:pPr>
      <w:rPr>
        <w:rFonts w:ascii="Arial" w:eastAsia="Arial" w:hAnsi="Arial" w:cs="Arial"/>
        <w:vertAlign w:val="baseline"/>
      </w:rPr>
    </w:lvl>
    <w:lvl w:ilvl="4">
      <w:start w:val="1"/>
      <w:numFmt w:val="bullet"/>
      <w:lvlText w:val="o"/>
      <w:lvlJc w:val="left"/>
      <w:pPr>
        <w:ind w:left="3960" w:firstLine="3240"/>
      </w:pPr>
      <w:rPr>
        <w:rFonts w:ascii="Arial" w:eastAsia="Arial" w:hAnsi="Arial" w:cs="Arial"/>
        <w:vertAlign w:val="baseline"/>
      </w:rPr>
    </w:lvl>
    <w:lvl w:ilvl="5">
      <w:start w:val="1"/>
      <w:numFmt w:val="bullet"/>
      <w:lvlText w:val="▪"/>
      <w:lvlJc w:val="left"/>
      <w:pPr>
        <w:ind w:left="4680" w:firstLine="3960"/>
      </w:pPr>
      <w:rPr>
        <w:rFonts w:ascii="Arial" w:eastAsia="Arial" w:hAnsi="Arial" w:cs="Arial"/>
        <w:vertAlign w:val="baseline"/>
      </w:rPr>
    </w:lvl>
    <w:lvl w:ilvl="6">
      <w:start w:val="1"/>
      <w:numFmt w:val="bullet"/>
      <w:lvlText w:val="●"/>
      <w:lvlJc w:val="left"/>
      <w:pPr>
        <w:ind w:left="5400" w:firstLine="4680"/>
      </w:pPr>
      <w:rPr>
        <w:rFonts w:ascii="Arial" w:eastAsia="Arial" w:hAnsi="Arial" w:cs="Arial"/>
        <w:vertAlign w:val="baseline"/>
      </w:rPr>
    </w:lvl>
    <w:lvl w:ilvl="7">
      <w:start w:val="1"/>
      <w:numFmt w:val="bullet"/>
      <w:lvlText w:val="o"/>
      <w:lvlJc w:val="left"/>
      <w:pPr>
        <w:ind w:left="6120" w:firstLine="5400"/>
      </w:pPr>
      <w:rPr>
        <w:rFonts w:ascii="Arial" w:eastAsia="Arial" w:hAnsi="Arial" w:cs="Arial"/>
        <w:vertAlign w:val="baseline"/>
      </w:rPr>
    </w:lvl>
    <w:lvl w:ilvl="8">
      <w:start w:val="1"/>
      <w:numFmt w:val="bullet"/>
      <w:lvlText w:val="▪"/>
      <w:lvlJc w:val="left"/>
      <w:pPr>
        <w:ind w:left="684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33E1D"/>
    <w:rsid w:val="00033E1D"/>
    <w:rsid w:val="00295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5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2292</Characters>
  <Application>Microsoft Office Word</Application>
  <DocSecurity>0</DocSecurity>
  <Lines>19</Lines>
  <Paragraphs>5</Paragraphs>
  <ScaleCrop>false</ScaleCrop>
  <Company>Thames Valley District School Board</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McKeown, William (7528)</cp:lastModifiedBy>
  <cp:revision>2</cp:revision>
  <dcterms:created xsi:type="dcterms:W3CDTF">2016-07-25T17:05:00Z</dcterms:created>
  <dcterms:modified xsi:type="dcterms:W3CDTF">2016-07-25T17:11:00Z</dcterms:modified>
</cp:coreProperties>
</file>