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3D563" w14:textId="77777777" w:rsidR="004A0A9C" w:rsidRPr="0030171E" w:rsidRDefault="004A0A9C" w:rsidP="004A0A9C">
      <w:pPr>
        <w:rPr>
          <w:rFonts w:asciiTheme="minorHAnsi" w:hAnsiTheme="minorHAnsi"/>
        </w:rPr>
      </w:pPr>
      <w:r w:rsidRPr="0030171E">
        <w:rPr>
          <w:rFonts w:asciiTheme="minorHAnsi" w:hAnsiTheme="minorHAnsi"/>
        </w:rPr>
        <w:t>Equity:  Exploration and Action:</w:t>
      </w:r>
    </w:p>
    <w:p w14:paraId="647E3152" w14:textId="77777777" w:rsidR="004A0A9C" w:rsidRPr="0030171E" w:rsidRDefault="004A0A9C" w:rsidP="004A0A9C">
      <w:pPr>
        <w:rPr>
          <w:rFonts w:asciiTheme="minorHAnsi" w:hAnsiTheme="minorHAnsi"/>
        </w:rPr>
      </w:pPr>
    </w:p>
    <w:p w14:paraId="620DA3F2" w14:textId="5AAC08A5" w:rsidR="00AE2793" w:rsidRDefault="004A0A9C">
      <w:pPr>
        <w:rPr>
          <w:rFonts w:asciiTheme="minorHAnsi" w:hAnsiTheme="minorHAnsi"/>
        </w:rPr>
      </w:pPr>
      <w:r w:rsidRPr="0030171E">
        <w:rPr>
          <w:rFonts w:asciiTheme="minorHAnsi" w:hAnsiTheme="minorHAnsi"/>
        </w:rPr>
        <w:t>Day II</w:t>
      </w:r>
      <w:r>
        <w:rPr>
          <w:rFonts w:asciiTheme="minorHAnsi" w:hAnsiTheme="minorHAnsi"/>
        </w:rPr>
        <w:t>I</w:t>
      </w:r>
      <w:r w:rsidRPr="0030171E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>Considering an Article</w:t>
      </w:r>
      <w:r w:rsidRPr="0030171E">
        <w:rPr>
          <w:rFonts w:asciiTheme="minorHAnsi" w:hAnsiTheme="minorHAnsi"/>
        </w:rPr>
        <w:t>:</w:t>
      </w:r>
    </w:p>
    <w:p w14:paraId="14D48380" w14:textId="77777777" w:rsidR="00AE2793" w:rsidRDefault="00AE2793">
      <w:pPr>
        <w:rPr>
          <w:rFonts w:asciiTheme="minorHAnsi" w:hAnsiTheme="minorHAnsi"/>
        </w:rPr>
      </w:pPr>
    </w:p>
    <w:p w14:paraId="37C58C02" w14:textId="7CBA1AF1" w:rsidR="00AE2793" w:rsidRDefault="00AE2793" w:rsidP="00373D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Today, your task is to </w:t>
      </w:r>
      <w:r w:rsidR="000D0D6C">
        <w:rPr>
          <w:rFonts w:asciiTheme="minorHAnsi" w:hAnsiTheme="minorHAnsi"/>
        </w:rPr>
        <w:t xml:space="preserve">find an </w:t>
      </w:r>
      <w:r w:rsidR="007D1402">
        <w:rPr>
          <w:rFonts w:asciiTheme="minorHAnsi" w:hAnsiTheme="minorHAnsi"/>
        </w:rPr>
        <w:t xml:space="preserve">article that explores an issue </w:t>
      </w:r>
      <w:r w:rsidR="00AF6537">
        <w:rPr>
          <w:rFonts w:asciiTheme="minorHAnsi" w:hAnsiTheme="minorHAnsi"/>
        </w:rPr>
        <w:t>around your equity seeking group</w:t>
      </w:r>
      <w:r w:rsidR="00373D82">
        <w:rPr>
          <w:rFonts w:asciiTheme="minorHAnsi" w:hAnsiTheme="minorHAnsi"/>
        </w:rPr>
        <w:t xml:space="preserve">.  The article must be from a site that also has a print version, such as </w:t>
      </w:r>
      <w:r w:rsidR="00373D82">
        <w:rPr>
          <w:rFonts w:asciiTheme="minorHAnsi" w:hAnsiTheme="minorHAnsi"/>
          <w:i/>
        </w:rPr>
        <w:t>The London Free Press</w:t>
      </w:r>
      <w:r w:rsidR="00373D82">
        <w:rPr>
          <w:rFonts w:asciiTheme="minorHAnsi" w:hAnsiTheme="minorHAnsi"/>
        </w:rPr>
        <w:t xml:space="preserve">, </w:t>
      </w:r>
      <w:r w:rsidR="00373D82">
        <w:rPr>
          <w:rFonts w:asciiTheme="minorHAnsi" w:hAnsiTheme="minorHAnsi"/>
          <w:i/>
        </w:rPr>
        <w:t>The Globe and Mail</w:t>
      </w:r>
      <w:r w:rsidR="00373D82">
        <w:rPr>
          <w:rFonts w:asciiTheme="minorHAnsi" w:hAnsiTheme="minorHAnsi"/>
        </w:rPr>
        <w:t xml:space="preserve">, or </w:t>
      </w:r>
      <w:r w:rsidR="00373D82">
        <w:rPr>
          <w:rFonts w:asciiTheme="minorHAnsi" w:hAnsiTheme="minorHAnsi"/>
          <w:i/>
        </w:rPr>
        <w:t>The National P</w:t>
      </w:r>
      <w:r w:rsidR="00C00F91">
        <w:rPr>
          <w:rFonts w:asciiTheme="minorHAnsi" w:hAnsiTheme="minorHAnsi"/>
          <w:i/>
        </w:rPr>
        <w:t>ost</w:t>
      </w:r>
      <w:r w:rsidR="00C00F91">
        <w:rPr>
          <w:rFonts w:asciiTheme="minorHAnsi" w:hAnsiTheme="minorHAnsi"/>
        </w:rPr>
        <w:t>.  Otherwise</w:t>
      </w:r>
      <w:r w:rsidR="006D1001">
        <w:rPr>
          <w:rFonts w:asciiTheme="minorHAnsi" w:hAnsiTheme="minorHAnsi"/>
        </w:rPr>
        <w:t xml:space="preserve">, the website needs to be “credible”.  </w:t>
      </w:r>
    </w:p>
    <w:p w14:paraId="428AEC5B" w14:textId="77777777" w:rsidR="005B6B93" w:rsidRDefault="005B6B93" w:rsidP="00373D82">
      <w:pPr>
        <w:jc w:val="both"/>
        <w:rPr>
          <w:rFonts w:asciiTheme="minorHAnsi" w:hAnsiTheme="minorHAnsi"/>
        </w:rPr>
      </w:pPr>
    </w:p>
    <w:p w14:paraId="669A44BC" w14:textId="4D6A0F1C" w:rsidR="005B6B93" w:rsidRDefault="005B6B93" w:rsidP="00373D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Don’t forget to include either a pdf or some other copy of your article when you hand this in.</w:t>
      </w:r>
    </w:p>
    <w:p w14:paraId="503AD995" w14:textId="77777777" w:rsidR="006D1001" w:rsidRDefault="006D1001" w:rsidP="00373D82">
      <w:pPr>
        <w:jc w:val="both"/>
        <w:rPr>
          <w:rFonts w:asciiTheme="minorHAnsi" w:hAnsiTheme="minorHAnsi"/>
        </w:rPr>
      </w:pPr>
    </w:p>
    <w:p w14:paraId="0AA88C63" w14:textId="49F30B12" w:rsidR="006D1001" w:rsidRDefault="006D1001" w:rsidP="00373D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Before we get started, your task, in a small group, is to determine five criteria by which a website may be deemed credible.  This phase will be done with no external research:</w:t>
      </w:r>
    </w:p>
    <w:p w14:paraId="7F1E56C0" w14:textId="77777777" w:rsidR="006D1001" w:rsidRDefault="006D1001" w:rsidP="00373D82">
      <w:pPr>
        <w:jc w:val="both"/>
        <w:rPr>
          <w:rFonts w:asciiTheme="minorHAnsi" w:hAnsiTheme="minorHAnsi"/>
        </w:rPr>
      </w:pPr>
    </w:p>
    <w:p w14:paraId="0BFC8D2E" w14:textId="7327971E" w:rsidR="006D1001" w:rsidRDefault="006D1001" w:rsidP="006D10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14:paraId="1EBC3805" w14:textId="77777777" w:rsidR="006D1001" w:rsidRPr="006D1001" w:rsidRDefault="006D1001" w:rsidP="006D10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14:paraId="569F6F92" w14:textId="77777777" w:rsidR="006D1001" w:rsidRPr="006D1001" w:rsidRDefault="006D1001" w:rsidP="006D10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14:paraId="3D8812BD" w14:textId="77777777" w:rsidR="006D1001" w:rsidRPr="006D1001" w:rsidRDefault="006D1001" w:rsidP="006D10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14:paraId="2843BDFE" w14:textId="77777777" w:rsidR="006D1001" w:rsidRPr="006D1001" w:rsidRDefault="006D1001" w:rsidP="006D10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14:paraId="526F9BE3" w14:textId="77777777" w:rsidR="006D1001" w:rsidRDefault="006D1001" w:rsidP="006D1001">
      <w:pPr>
        <w:jc w:val="both"/>
        <w:rPr>
          <w:rFonts w:asciiTheme="minorHAnsi" w:hAnsiTheme="minorHAnsi"/>
        </w:rPr>
      </w:pPr>
    </w:p>
    <w:p w14:paraId="0352EA32" w14:textId="4ACC7FC9" w:rsidR="006D1001" w:rsidRDefault="00E55625" w:rsidP="006D10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Once </w:t>
      </w:r>
      <w:r w:rsidR="00E25927">
        <w:rPr>
          <w:rFonts w:asciiTheme="minorHAnsi" w:hAnsiTheme="minorHAnsi"/>
        </w:rPr>
        <w:t>these criteria</w:t>
      </w:r>
      <w:r w:rsidR="00F75110">
        <w:rPr>
          <w:rFonts w:asciiTheme="minorHAnsi" w:hAnsiTheme="minorHAnsi"/>
        </w:rPr>
        <w:t xml:space="preserve"> </w:t>
      </w:r>
      <w:r w:rsidR="00E25927">
        <w:rPr>
          <w:rFonts w:asciiTheme="minorHAnsi" w:hAnsiTheme="minorHAnsi"/>
        </w:rPr>
        <w:t>are</w:t>
      </w:r>
      <w:r w:rsidR="00F75110">
        <w:rPr>
          <w:rFonts w:asciiTheme="minorHAnsi" w:hAnsiTheme="minorHAnsi"/>
        </w:rPr>
        <w:t xml:space="preserve"> determined, you will choose your article, and then create its summary.  </w:t>
      </w:r>
      <w:r w:rsidR="0071657D">
        <w:rPr>
          <w:rFonts w:asciiTheme="minorHAnsi" w:hAnsiTheme="minorHAnsi"/>
        </w:rPr>
        <w:t xml:space="preserve">The summary will be </w:t>
      </w:r>
      <w:r w:rsidR="002529F4">
        <w:rPr>
          <w:rFonts w:asciiTheme="minorHAnsi" w:hAnsiTheme="minorHAnsi"/>
        </w:rPr>
        <w:t>paragraphs</w:t>
      </w:r>
      <w:r w:rsidR="0071657D">
        <w:rPr>
          <w:rFonts w:asciiTheme="minorHAnsi" w:hAnsiTheme="minorHAnsi"/>
        </w:rPr>
        <w:t xml:space="preserve"> pages in length.  </w:t>
      </w:r>
      <w:r w:rsidR="00275A3E">
        <w:rPr>
          <w:rFonts w:asciiTheme="minorHAnsi" w:hAnsiTheme="minorHAnsi"/>
        </w:rPr>
        <w:t>It should cover all the details in the checklist below:</w:t>
      </w:r>
    </w:p>
    <w:p w14:paraId="52370006" w14:textId="77777777" w:rsidR="00275A3E" w:rsidRDefault="00275A3E" w:rsidP="006D1001">
      <w:pPr>
        <w:jc w:val="both"/>
        <w:rPr>
          <w:rFonts w:asciiTheme="minorHAnsi" w:hAnsiTheme="minorHAnsi"/>
        </w:rPr>
      </w:pPr>
    </w:p>
    <w:p w14:paraId="209EBE4B" w14:textId="679743B1" w:rsidR="00275A3E" w:rsidRDefault="00275A3E" w:rsidP="00275A3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Clear, concise summary of the details of the article</w:t>
      </w:r>
      <w:r w:rsidR="002529F4">
        <w:rPr>
          <w:rFonts w:asciiTheme="minorHAnsi" w:hAnsiTheme="minorHAnsi"/>
        </w:rPr>
        <w:t>, which will make up all of paragraph one and should be around eight sentences in length</w:t>
      </w:r>
      <w:r w:rsidR="00104AE4">
        <w:rPr>
          <w:rFonts w:asciiTheme="minorHAnsi" w:hAnsiTheme="minorHAnsi"/>
        </w:rPr>
        <w:t>.</w:t>
      </w:r>
    </w:p>
    <w:p w14:paraId="224F24B4" w14:textId="77777777" w:rsidR="002529F4" w:rsidRDefault="002529F4" w:rsidP="002529F4">
      <w:pPr>
        <w:pStyle w:val="ListParagraph"/>
        <w:jc w:val="both"/>
        <w:rPr>
          <w:rFonts w:asciiTheme="minorHAnsi" w:hAnsiTheme="minorHAnsi"/>
        </w:rPr>
      </w:pPr>
    </w:p>
    <w:p w14:paraId="510C12F5" w14:textId="28267D07" w:rsidR="00C263B8" w:rsidRDefault="00C263B8" w:rsidP="00C263B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thoughtful, personal opinion of the details of the article</w:t>
      </w:r>
      <w:r w:rsidR="00104AE4">
        <w:rPr>
          <w:rFonts w:asciiTheme="minorHAnsi" w:hAnsiTheme="minorHAnsi"/>
        </w:rPr>
        <w:t>.  This will be the beginning of paragraph two, and will be around four sentences in length.</w:t>
      </w:r>
    </w:p>
    <w:p w14:paraId="5D991EC8" w14:textId="77777777" w:rsidR="00C263B8" w:rsidRPr="00C263B8" w:rsidRDefault="00C263B8" w:rsidP="00C263B8">
      <w:pPr>
        <w:jc w:val="both"/>
        <w:rPr>
          <w:rFonts w:asciiTheme="minorHAnsi" w:hAnsiTheme="minorHAnsi"/>
        </w:rPr>
      </w:pPr>
    </w:p>
    <w:p w14:paraId="4CB1D730" w14:textId="1B07A554" w:rsidR="00C263B8" w:rsidRDefault="00C263B8" w:rsidP="00C263B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practical, logical solution to the issue that th</w:t>
      </w:r>
      <w:r w:rsidR="00104AE4">
        <w:rPr>
          <w:rFonts w:asciiTheme="minorHAnsi" w:hAnsiTheme="minorHAnsi"/>
        </w:rPr>
        <w:t>e article explores.  This will be the conclusion of paragraph two, and will be around four sentences in length.</w:t>
      </w:r>
    </w:p>
    <w:p w14:paraId="0F409D9A" w14:textId="77777777" w:rsidR="00104AE4" w:rsidRPr="00104AE4" w:rsidRDefault="00104AE4" w:rsidP="00104AE4">
      <w:pPr>
        <w:jc w:val="both"/>
        <w:rPr>
          <w:rFonts w:asciiTheme="minorHAnsi" w:hAnsiTheme="minorHAnsi"/>
        </w:rPr>
      </w:pPr>
    </w:p>
    <w:p w14:paraId="2A4E0C75" w14:textId="5836A5C2" w:rsidR="00104AE4" w:rsidRDefault="00104AE4" w:rsidP="00104A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Additionally, paragraph two must include at least two of the phases from the bank below:</w:t>
      </w:r>
    </w:p>
    <w:p w14:paraId="27894D89" w14:textId="77777777" w:rsidR="00104AE4" w:rsidRDefault="00104AE4" w:rsidP="00104AE4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104AE4" w14:paraId="04DB88B2" w14:textId="77777777" w:rsidTr="00104AE4">
        <w:tc>
          <w:tcPr>
            <w:tcW w:w="4957" w:type="dxa"/>
          </w:tcPr>
          <w:p w14:paraId="36008761" w14:textId="0EE9375E" w:rsidR="00104AE4" w:rsidRPr="00104AE4" w:rsidRDefault="00104AE4" w:rsidP="00104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Elements of Democracy</w:t>
            </w:r>
          </w:p>
        </w:tc>
        <w:tc>
          <w:tcPr>
            <w:tcW w:w="4393" w:type="dxa"/>
          </w:tcPr>
          <w:p w14:paraId="4D565A85" w14:textId="74CFA6C6" w:rsidR="00104AE4" w:rsidRPr="00104AE4" w:rsidRDefault="00104AE4" w:rsidP="00104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Legislation</w:t>
            </w:r>
          </w:p>
        </w:tc>
      </w:tr>
      <w:tr w:rsidR="00104AE4" w14:paraId="74B2A5CA" w14:textId="77777777" w:rsidTr="00104AE4">
        <w:tc>
          <w:tcPr>
            <w:tcW w:w="4957" w:type="dxa"/>
          </w:tcPr>
          <w:p w14:paraId="7517C91C" w14:textId="1EC889D8" w:rsidR="00104AE4" w:rsidRPr="00104AE4" w:rsidRDefault="00104AE4" w:rsidP="00104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Rights and Responsibilities</w:t>
            </w:r>
          </w:p>
        </w:tc>
        <w:tc>
          <w:tcPr>
            <w:tcW w:w="4393" w:type="dxa"/>
          </w:tcPr>
          <w:p w14:paraId="2C8B3D12" w14:textId="7359B966" w:rsidR="00104AE4" w:rsidRPr="00104AE4" w:rsidRDefault="00104AE4" w:rsidP="00104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Active Citizen</w:t>
            </w:r>
          </w:p>
        </w:tc>
      </w:tr>
      <w:tr w:rsidR="00104AE4" w14:paraId="18562410" w14:textId="77777777" w:rsidTr="00104AE4">
        <w:tc>
          <w:tcPr>
            <w:tcW w:w="4957" w:type="dxa"/>
          </w:tcPr>
          <w:p w14:paraId="048F36D0" w14:textId="5EB74930" w:rsidR="00104AE4" w:rsidRPr="00104AE4" w:rsidRDefault="00104AE4" w:rsidP="00104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Canadian Charter of Rights and Freedoms</w:t>
            </w:r>
          </w:p>
        </w:tc>
        <w:tc>
          <w:tcPr>
            <w:tcW w:w="4393" w:type="dxa"/>
          </w:tcPr>
          <w:p w14:paraId="053689EE" w14:textId="5911A621" w:rsidR="00104AE4" w:rsidRPr="00104AE4" w:rsidRDefault="00104AE4" w:rsidP="00104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Advocacy</w:t>
            </w:r>
          </w:p>
        </w:tc>
      </w:tr>
      <w:tr w:rsidR="00104AE4" w14:paraId="58701D54" w14:textId="77777777" w:rsidTr="00104AE4">
        <w:tc>
          <w:tcPr>
            <w:tcW w:w="4957" w:type="dxa"/>
          </w:tcPr>
          <w:p w14:paraId="3BB240EC" w14:textId="5129D12A" w:rsidR="00104AE4" w:rsidRPr="00104AE4" w:rsidRDefault="00104AE4" w:rsidP="00104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Levels of Government</w:t>
            </w:r>
          </w:p>
        </w:tc>
        <w:tc>
          <w:tcPr>
            <w:tcW w:w="4393" w:type="dxa"/>
          </w:tcPr>
          <w:p w14:paraId="40715FAC" w14:textId="48F0C808" w:rsidR="00104AE4" w:rsidRPr="00104AE4" w:rsidRDefault="00104AE4" w:rsidP="00104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</w:t>
            </w:r>
          </w:p>
        </w:tc>
      </w:tr>
      <w:tr w:rsidR="00104AE4" w14:paraId="2586B400" w14:textId="77777777" w:rsidTr="00104AE4">
        <w:tc>
          <w:tcPr>
            <w:tcW w:w="4957" w:type="dxa"/>
          </w:tcPr>
          <w:p w14:paraId="6022032B" w14:textId="1E167C7B" w:rsidR="00104AE4" w:rsidRPr="00104AE4" w:rsidRDefault="00104AE4" w:rsidP="00104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Universal Declaration of Human RIghts</w:t>
            </w:r>
          </w:p>
        </w:tc>
        <w:tc>
          <w:tcPr>
            <w:tcW w:w="4393" w:type="dxa"/>
          </w:tcPr>
          <w:p w14:paraId="13E078CB" w14:textId="363B813A" w:rsidR="00104AE4" w:rsidRPr="00104AE4" w:rsidRDefault="00104AE4" w:rsidP="00104A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Systematic Discrimination</w:t>
            </w:r>
          </w:p>
        </w:tc>
      </w:tr>
    </w:tbl>
    <w:p w14:paraId="42741C55" w14:textId="77777777" w:rsidR="00104AE4" w:rsidRDefault="00104AE4" w:rsidP="00104AE4">
      <w:pPr>
        <w:jc w:val="both"/>
        <w:rPr>
          <w:rFonts w:asciiTheme="minorHAnsi" w:hAnsiTheme="minorHAnsi"/>
        </w:rPr>
      </w:pPr>
    </w:p>
    <w:p w14:paraId="5CA6F749" w14:textId="77777777" w:rsidR="005B6B93" w:rsidRDefault="005B6B93" w:rsidP="00104AE4">
      <w:pPr>
        <w:jc w:val="both"/>
        <w:rPr>
          <w:rFonts w:asciiTheme="minorHAnsi" w:hAnsiTheme="minorHAnsi"/>
        </w:rPr>
      </w:pPr>
    </w:p>
    <w:p w14:paraId="78D28C1F" w14:textId="77777777" w:rsidR="005B6B93" w:rsidRDefault="005B6B93" w:rsidP="005B6B93">
      <w:pPr>
        <w:jc w:val="both"/>
        <w:rPr>
          <w:rFonts w:asciiTheme="minorHAnsi" w:hAnsiTheme="minorHAnsi"/>
        </w:rPr>
      </w:pPr>
    </w:p>
    <w:p w14:paraId="0FD24B74" w14:textId="3FE3EB55" w:rsidR="005B6B93" w:rsidRPr="00BD7834" w:rsidRDefault="005B6B93" w:rsidP="005B6B9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lastRenderedPageBreak/>
        <w:t>Article Summaries</w:t>
      </w:r>
      <w:r w:rsidRPr="00BD7834">
        <w:rPr>
          <w:rFonts w:asciiTheme="minorHAnsi" w:hAnsiTheme="minorHAnsi"/>
        </w:rPr>
        <w:t xml:space="preserve">, which will have a weight factor of </w:t>
      </w:r>
      <w:r w:rsidR="00DD3537">
        <w:rPr>
          <w:rFonts w:asciiTheme="minorHAnsi" w:hAnsiTheme="minorHAnsi"/>
        </w:rPr>
        <w:t>two</w:t>
      </w:r>
      <w:bookmarkStart w:id="0" w:name="_GoBack"/>
      <w:bookmarkEnd w:id="0"/>
      <w:r w:rsidRPr="00BD7834">
        <w:rPr>
          <w:rFonts w:asciiTheme="minorHAnsi" w:hAnsiTheme="minorHAnsi"/>
        </w:rPr>
        <w:t>, will be marked based on the following criteria:</w:t>
      </w:r>
    </w:p>
    <w:p w14:paraId="11A55957" w14:textId="77777777" w:rsidR="005B6B93" w:rsidRPr="00BD7834" w:rsidRDefault="005B6B93" w:rsidP="005B6B9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61"/>
        <w:gridCol w:w="1868"/>
        <w:gridCol w:w="1868"/>
        <w:gridCol w:w="1868"/>
      </w:tblGrid>
      <w:tr w:rsidR="005B6B93" w:rsidRPr="00BD7834" w14:paraId="61E9F568" w14:textId="77777777" w:rsidTr="00096C1B">
        <w:tc>
          <w:tcPr>
            <w:tcW w:w="1885" w:type="dxa"/>
          </w:tcPr>
          <w:p w14:paraId="0F611AED" w14:textId="77777777" w:rsidR="005B6B93" w:rsidRPr="00BD7834" w:rsidRDefault="005B6B93" w:rsidP="00096C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B52B20B" w14:textId="77777777" w:rsidR="005B6B93" w:rsidRPr="00BD7834" w:rsidRDefault="005B6B93" w:rsidP="00096C1B">
            <w:pPr>
              <w:rPr>
                <w:rFonts w:asciiTheme="minorHAnsi" w:hAnsiTheme="minorHAnsi"/>
                <w:sz w:val="20"/>
                <w:szCs w:val="20"/>
              </w:rPr>
            </w:pPr>
            <w:r w:rsidRPr="00BD7834">
              <w:rPr>
                <w:rFonts w:asciiTheme="minorHAnsi" w:hAnsiTheme="minorHAnsi"/>
                <w:sz w:val="20"/>
                <w:szCs w:val="20"/>
              </w:rPr>
              <w:t>Level I</w:t>
            </w:r>
          </w:p>
        </w:tc>
        <w:tc>
          <w:tcPr>
            <w:tcW w:w="1868" w:type="dxa"/>
          </w:tcPr>
          <w:p w14:paraId="4E850F76" w14:textId="77777777" w:rsidR="005B6B93" w:rsidRPr="00BD7834" w:rsidRDefault="005B6B93" w:rsidP="00096C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D7834">
              <w:rPr>
                <w:rFonts w:asciiTheme="minorHAnsi" w:hAnsiTheme="minorHAnsi"/>
                <w:sz w:val="20"/>
                <w:szCs w:val="20"/>
              </w:rPr>
              <w:t>Level II</w:t>
            </w:r>
          </w:p>
        </w:tc>
        <w:tc>
          <w:tcPr>
            <w:tcW w:w="1868" w:type="dxa"/>
          </w:tcPr>
          <w:p w14:paraId="61AEF5EF" w14:textId="77777777" w:rsidR="005B6B93" w:rsidRPr="00BD7834" w:rsidRDefault="005B6B93" w:rsidP="00096C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D7834">
              <w:rPr>
                <w:rFonts w:asciiTheme="minorHAnsi" w:hAnsiTheme="minorHAnsi"/>
                <w:sz w:val="20"/>
                <w:szCs w:val="20"/>
              </w:rPr>
              <w:t>Level III</w:t>
            </w:r>
          </w:p>
        </w:tc>
        <w:tc>
          <w:tcPr>
            <w:tcW w:w="1868" w:type="dxa"/>
          </w:tcPr>
          <w:p w14:paraId="101DCA63" w14:textId="77777777" w:rsidR="005B6B93" w:rsidRPr="00BD7834" w:rsidRDefault="005B6B93" w:rsidP="00096C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D7834">
              <w:rPr>
                <w:rFonts w:asciiTheme="minorHAnsi" w:hAnsiTheme="minorHAnsi"/>
                <w:sz w:val="20"/>
                <w:szCs w:val="20"/>
              </w:rPr>
              <w:t>Level IV</w:t>
            </w:r>
          </w:p>
        </w:tc>
      </w:tr>
      <w:tr w:rsidR="005B6B93" w:rsidRPr="00BD7834" w14:paraId="6D77C6DC" w14:textId="77777777" w:rsidTr="00096C1B">
        <w:tc>
          <w:tcPr>
            <w:tcW w:w="1885" w:type="dxa"/>
          </w:tcPr>
          <w:p w14:paraId="125B919B" w14:textId="613569DA" w:rsidR="005B6B93" w:rsidRPr="00BD7834" w:rsidRDefault="005B6B93" w:rsidP="00096C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Communication:  Is the </w:t>
            </w:r>
            <w:r w:rsidR="00502808">
              <w:rPr>
                <w:rFonts w:asciiTheme="minorHAnsi" w:hAnsiTheme="minorHAnsi"/>
                <w:sz w:val="20"/>
                <w:szCs w:val="20"/>
              </w:rPr>
              <w:t>Article Summary</w:t>
            </w:r>
            <w:r w:rsidR="00502808" w:rsidRPr="00BD78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correct, clear, and concise?</w:t>
            </w:r>
          </w:p>
          <w:p w14:paraId="5DED9E14" w14:textId="77777777" w:rsidR="005B6B93" w:rsidRPr="00BD7834" w:rsidRDefault="005B6B93" w:rsidP="00096C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FD65CFF" w14:textId="5843FE4B" w:rsidR="005B6B93" w:rsidRPr="00BD7834" w:rsidRDefault="00502808" w:rsidP="005028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Article Summary is not correct, clear, or concise</w:t>
            </w:r>
          </w:p>
        </w:tc>
        <w:tc>
          <w:tcPr>
            <w:tcW w:w="1868" w:type="dxa"/>
          </w:tcPr>
          <w:p w14:paraId="437F6268" w14:textId="5D7C1EEF" w:rsidR="005B6B93" w:rsidRDefault="00502808" w:rsidP="00096C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Article Summary is somewhat correct, clear, and concise</w:t>
            </w:r>
          </w:p>
          <w:p w14:paraId="5DBAACE1" w14:textId="77777777" w:rsidR="00502808" w:rsidRPr="00BD7834" w:rsidRDefault="00502808" w:rsidP="00096C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</w:tcPr>
          <w:p w14:paraId="5D871285" w14:textId="646AC6BE" w:rsidR="005B6B93" w:rsidRPr="00BD7834" w:rsidRDefault="00502808" w:rsidP="005028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Article Summary is correct, clear, and concise</w:t>
            </w:r>
          </w:p>
        </w:tc>
        <w:tc>
          <w:tcPr>
            <w:tcW w:w="1868" w:type="dxa"/>
          </w:tcPr>
          <w:p w14:paraId="21DE6FE7" w14:textId="6F5753E4" w:rsidR="005B6B93" w:rsidRPr="00BD7834" w:rsidRDefault="00502808" w:rsidP="005028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Article Summary is very correct, clear, and concise</w:t>
            </w:r>
          </w:p>
        </w:tc>
      </w:tr>
      <w:tr w:rsidR="005B6B93" w:rsidRPr="00BD7834" w14:paraId="10F31322" w14:textId="77777777" w:rsidTr="00096C1B">
        <w:tc>
          <w:tcPr>
            <w:tcW w:w="1885" w:type="dxa"/>
          </w:tcPr>
          <w:p w14:paraId="2714CCE0" w14:textId="2600A99C" w:rsidR="005B6B93" w:rsidRPr="00BD7834" w:rsidRDefault="005B6B93" w:rsidP="00096C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Global Citizenship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:  Does the </w:t>
            </w:r>
            <w:r w:rsidR="00502808">
              <w:rPr>
                <w:rFonts w:asciiTheme="minorHAnsi" w:hAnsiTheme="minorHAnsi"/>
                <w:sz w:val="20"/>
                <w:szCs w:val="20"/>
              </w:rPr>
              <w:t>Article Summary offer a personal response that is clear, logical, and respectful?</w:t>
            </w:r>
          </w:p>
          <w:p w14:paraId="64047707" w14:textId="77777777" w:rsidR="005B6B93" w:rsidRPr="00BD7834" w:rsidRDefault="005B6B93" w:rsidP="00096C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14:paraId="1A573697" w14:textId="362A4501" w:rsidR="005B6B93" w:rsidRPr="00BD7834" w:rsidRDefault="00502808" w:rsidP="005028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>
              <w:rPr>
                <w:rFonts w:asciiTheme="minorHAnsi" w:hAnsiTheme="minorHAnsi"/>
                <w:sz w:val="20"/>
                <w:szCs w:val="20"/>
              </w:rPr>
              <w:t>Article Summary does not offer a personal response that is clear, logical, and respectful</w:t>
            </w:r>
          </w:p>
        </w:tc>
        <w:tc>
          <w:tcPr>
            <w:tcW w:w="1868" w:type="dxa"/>
            <w:shd w:val="clear" w:color="auto" w:fill="auto"/>
          </w:tcPr>
          <w:p w14:paraId="10E82925" w14:textId="357F2A5D" w:rsidR="005B6B93" w:rsidRDefault="00502808" w:rsidP="005028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>
              <w:rPr>
                <w:rFonts w:asciiTheme="minorHAnsi" w:hAnsiTheme="minorHAnsi"/>
                <w:sz w:val="20"/>
                <w:szCs w:val="20"/>
              </w:rPr>
              <w:t>Article Summary does not offer a somewhat personal response that is somewhat clear, logical, and respectful</w:t>
            </w:r>
          </w:p>
          <w:p w14:paraId="1ED5F9AD" w14:textId="6DCDF2CA" w:rsidR="00502808" w:rsidRPr="00BD7834" w:rsidRDefault="00502808" w:rsidP="005028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14:paraId="297C884A" w14:textId="7D83261B" w:rsidR="00502808" w:rsidRDefault="00502808" w:rsidP="005028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>
              <w:rPr>
                <w:rFonts w:asciiTheme="minorHAnsi" w:hAnsiTheme="minorHAnsi"/>
                <w:sz w:val="20"/>
                <w:szCs w:val="20"/>
              </w:rPr>
              <w:t>Article Summary offers a personal response that is clear, logical, and respectful</w:t>
            </w:r>
          </w:p>
          <w:p w14:paraId="11D82BE1" w14:textId="700C78A0" w:rsidR="005B6B93" w:rsidRPr="00BD7834" w:rsidRDefault="005B6B93" w:rsidP="00096C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14:paraId="19AABA6B" w14:textId="45BE6919" w:rsidR="00502808" w:rsidRDefault="00502808" w:rsidP="005028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>
              <w:rPr>
                <w:rFonts w:asciiTheme="minorHAnsi" w:hAnsiTheme="minorHAnsi"/>
                <w:sz w:val="20"/>
                <w:szCs w:val="20"/>
              </w:rPr>
              <w:t>Article Summary offers a personal response that is extremely clear, logical, and respectful</w:t>
            </w:r>
          </w:p>
          <w:p w14:paraId="2D181BE6" w14:textId="048266B4" w:rsidR="005B6B93" w:rsidRPr="00BD7834" w:rsidRDefault="005B6B93" w:rsidP="005028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6B93" w:rsidRPr="00BD7834" w14:paraId="3E8D512C" w14:textId="77777777" w:rsidTr="00096C1B">
        <w:tc>
          <w:tcPr>
            <w:tcW w:w="1885" w:type="dxa"/>
          </w:tcPr>
          <w:p w14:paraId="4FC0B04B" w14:textId="77777777" w:rsidR="00502808" w:rsidRPr="00BD7834" w:rsidRDefault="00502808" w:rsidP="005028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 Thinking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:  Does the </w:t>
            </w:r>
            <w:r>
              <w:rPr>
                <w:rFonts w:asciiTheme="minorHAnsi" w:hAnsiTheme="minorHAnsi"/>
                <w:sz w:val="20"/>
                <w:szCs w:val="20"/>
              </w:rPr>
              <w:t>Article Summary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demonstrate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practical, logical solution to the issue facing the Equity Seeking Group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chosen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094F5688" w14:textId="77777777" w:rsidR="005B6B93" w:rsidRPr="00BD7834" w:rsidRDefault="005B6B93" w:rsidP="005028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3B751AF" w14:textId="3900FE69" w:rsidR="005B6B93" w:rsidRPr="00BD7834" w:rsidRDefault="00E03024" w:rsidP="00096C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>
              <w:rPr>
                <w:rFonts w:asciiTheme="minorHAnsi" w:hAnsiTheme="minorHAnsi"/>
                <w:sz w:val="20"/>
                <w:szCs w:val="20"/>
              </w:rPr>
              <w:t>Article Summary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does not demonstrate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practical, logical solution to the issue facing the Equity Seeking Group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chosen</w:t>
            </w:r>
          </w:p>
        </w:tc>
        <w:tc>
          <w:tcPr>
            <w:tcW w:w="1868" w:type="dxa"/>
          </w:tcPr>
          <w:p w14:paraId="6AC57BD7" w14:textId="63E059D0" w:rsidR="005B6B93" w:rsidRPr="00BD7834" w:rsidRDefault="00E03024" w:rsidP="00E030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>
              <w:rPr>
                <w:rFonts w:asciiTheme="minorHAnsi" w:hAnsiTheme="minorHAnsi"/>
                <w:sz w:val="20"/>
                <w:szCs w:val="20"/>
              </w:rPr>
              <w:t>Article Summary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somewhat practical, logical solution to the issue facing the Equity Seeking Group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chosen</w:t>
            </w:r>
          </w:p>
        </w:tc>
        <w:tc>
          <w:tcPr>
            <w:tcW w:w="1868" w:type="dxa"/>
          </w:tcPr>
          <w:p w14:paraId="352CDC12" w14:textId="50639ABE" w:rsidR="005B6B93" w:rsidRPr="00BD7834" w:rsidRDefault="00E03024" w:rsidP="00E030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>
              <w:rPr>
                <w:rFonts w:asciiTheme="minorHAnsi" w:hAnsiTheme="minorHAnsi"/>
                <w:sz w:val="20"/>
                <w:szCs w:val="20"/>
              </w:rPr>
              <w:t>Article Summary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practical, logical solution to the issue facing the Equity Seeking Group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chosen</w:t>
            </w:r>
          </w:p>
        </w:tc>
        <w:tc>
          <w:tcPr>
            <w:tcW w:w="1868" w:type="dxa"/>
          </w:tcPr>
          <w:p w14:paraId="150366D9" w14:textId="6EAD1069" w:rsidR="005B6B93" w:rsidRPr="00BD7834" w:rsidRDefault="00E03024" w:rsidP="00096C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>
              <w:rPr>
                <w:rFonts w:asciiTheme="minorHAnsi" w:hAnsiTheme="minorHAnsi"/>
                <w:sz w:val="20"/>
                <w:szCs w:val="20"/>
              </w:rPr>
              <w:t>Article Summary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sz w:val="20"/>
                <w:szCs w:val="20"/>
              </w:rPr>
              <w:t>n extremely practical, logical solution to the issue facing the Equity Seeking Group</w:t>
            </w:r>
            <w:r w:rsidRPr="00BD7834">
              <w:rPr>
                <w:rFonts w:asciiTheme="minorHAnsi" w:hAnsiTheme="minorHAnsi"/>
                <w:sz w:val="20"/>
                <w:szCs w:val="20"/>
              </w:rPr>
              <w:t xml:space="preserve"> chosen</w:t>
            </w:r>
          </w:p>
        </w:tc>
      </w:tr>
    </w:tbl>
    <w:p w14:paraId="4E6FE39E" w14:textId="77777777" w:rsidR="005B6B93" w:rsidRPr="00BD7834" w:rsidRDefault="005B6B93" w:rsidP="005B6B93">
      <w:pPr>
        <w:jc w:val="both"/>
        <w:rPr>
          <w:rFonts w:asciiTheme="minorHAnsi" w:hAnsiTheme="minorHAnsi"/>
          <w:sz w:val="20"/>
          <w:szCs w:val="20"/>
        </w:rPr>
      </w:pPr>
    </w:p>
    <w:p w14:paraId="357C0E0C" w14:textId="77777777" w:rsidR="005B6B93" w:rsidRPr="00BD7834" w:rsidRDefault="005B6B93" w:rsidP="005B6B93">
      <w:pPr>
        <w:jc w:val="both"/>
        <w:rPr>
          <w:rFonts w:asciiTheme="minorHAnsi" w:hAnsiTheme="minorHAnsi"/>
          <w:sz w:val="20"/>
          <w:szCs w:val="20"/>
        </w:rPr>
      </w:pPr>
      <w:r w:rsidRPr="00BD7834">
        <w:rPr>
          <w:rFonts w:asciiTheme="minorHAnsi" w:hAnsiTheme="minorHAnsi"/>
          <w:sz w:val="20"/>
          <w:szCs w:val="20"/>
        </w:rPr>
        <w:t xml:space="preserve"> </w:t>
      </w:r>
    </w:p>
    <w:p w14:paraId="7333C08B" w14:textId="77777777" w:rsidR="005B6B93" w:rsidRPr="00BD7834" w:rsidRDefault="005B6B93" w:rsidP="005B6B93">
      <w:pPr>
        <w:jc w:val="both"/>
        <w:rPr>
          <w:rFonts w:asciiTheme="minorHAnsi" w:hAnsiTheme="minorHAnsi"/>
          <w:sz w:val="20"/>
          <w:szCs w:val="20"/>
        </w:rPr>
      </w:pPr>
    </w:p>
    <w:p w14:paraId="39530E2A" w14:textId="77777777" w:rsidR="005B6B93" w:rsidRDefault="005B6B93" w:rsidP="00104AE4">
      <w:pPr>
        <w:jc w:val="both"/>
        <w:rPr>
          <w:rFonts w:asciiTheme="minorHAnsi" w:hAnsiTheme="minorHAnsi"/>
        </w:rPr>
      </w:pPr>
    </w:p>
    <w:p w14:paraId="425346DC" w14:textId="77777777" w:rsidR="005B6B93" w:rsidRPr="00104AE4" w:rsidRDefault="005B6B93" w:rsidP="00104AE4">
      <w:pPr>
        <w:jc w:val="both"/>
        <w:rPr>
          <w:rFonts w:asciiTheme="minorHAnsi" w:hAnsiTheme="minorHAnsi"/>
        </w:rPr>
      </w:pPr>
    </w:p>
    <w:sectPr w:rsidR="005B6B93" w:rsidRPr="00104AE4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4F8"/>
    <w:multiLevelType w:val="hybridMultilevel"/>
    <w:tmpl w:val="554E0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B21"/>
    <w:multiLevelType w:val="hybridMultilevel"/>
    <w:tmpl w:val="8702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C92"/>
    <w:multiLevelType w:val="hybridMultilevel"/>
    <w:tmpl w:val="E6366B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66389"/>
    <w:multiLevelType w:val="hybridMultilevel"/>
    <w:tmpl w:val="78BAD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F6AFC"/>
    <w:multiLevelType w:val="hybridMultilevel"/>
    <w:tmpl w:val="3634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9C"/>
    <w:rsid w:val="000D0D6C"/>
    <w:rsid w:val="00104AE4"/>
    <w:rsid w:val="002529F4"/>
    <w:rsid w:val="00275A3E"/>
    <w:rsid w:val="00373D82"/>
    <w:rsid w:val="004A0A9C"/>
    <w:rsid w:val="00502808"/>
    <w:rsid w:val="005B6B93"/>
    <w:rsid w:val="006D1001"/>
    <w:rsid w:val="0071657D"/>
    <w:rsid w:val="007D1402"/>
    <w:rsid w:val="00982017"/>
    <w:rsid w:val="00A239AA"/>
    <w:rsid w:val="00AE2793"/>
    <w:rsid w:val="00AF6537"/>
    <w:rsid w:val="00C00F91"/>
    <w:rsid w:val="00C263B8"/>
    <w:rsid w:val="00C869D6"/>
    <w:rsid w:val="00DD3537"/>
    <w:rsid w:val="00E03024"/>
    <w:rsid w:val="00E25927"/>
    <w:rsid w:val="00E55625"/>
    <w:rsid w:val="00F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F9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0A9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01"/>
    <w:pPr>
      <w:ind w:left="720"/>
      <w:contextualSpacing/>
    </w:pPr>
  </w:style>
  <w:style w:type="table" w:styleId="TableGrid">
    <w:name w:val="Table Grid"/>
    <w:basedOn w:val="TableNormal"/>
    <w:uiPriority w:val="59"/>
    <w:rsid w:val="0010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8</cp:revision>
  <dcterms:created xsi:type="dcterms:W3CDTF">2018-07-10T00:33:00Z</dcterms:created>
  <dcterms:modified xsi:type="dcterms:W3CDTF">2018-07-10T13:30:00Z</dcterms:modified>
</cp:coreProperties>
</file>