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F" w:rsidRPr="007511D7" w:rsidRDefault="00937899" w:rsidP="00937899">
      <w:pPr>
        <w:spacing w:after="0" w:line="240" w:lineRule="auto"/>
        <w:jc w:val="both"/>
        <w:rPr>
          <w:sz w:val="20"/>
          <w:szCs w:val="20"/>
        </w:rPr>
      </w:pPr>
      <w:r w:rsidRPr="007511D7">
        <w:rPr>
          <w:i/>
          <w:sz w:val="20"/>
          <w:szCs w:val="20"/>
        </w:rPr>
        <w:t xml:space="preserve">The West and </w:t>
      </w:r>
      <w:proofErr w:type="gramStart"/>
      <w:r w:rsidRPr="007511D7">
        <w:rPr>
          <w:i/>
          <w:sz w:val="20"/>
          <w:szCs w:val="20"/>
        </w:rPr>
        <w:t>The</w:t>
      </w:r>
      <w:proofErr w:type="gramEnd"/>
      <w:r w:rsidRPr="007511D7">
        <w:rPr>
          <w:i/>
          <w:sz w:val="20"/>
          <w:szCs w:val="20"/>
        </w:rPr>
        <w:t xml:space="preserve"> World</w:t>
      </w:r>
      <w:r w:rsidRPr="007511D7">
        <w:rPr>
          <w:sz w:val="20"/>
          <w:szCs w:val="20"/>
        </w:rPr>
        <w:t xml:space="preserve"> vs. </w:t>
      </w:r>
      <w:r w:rsidRPr="007511D7">
        <w:rPr>
          <w:i/>
          <w:sz w:val="20"/>
          <w:szCs w:val="20"/>
        </w:rPr>
        <w:t>Civilization</w:t>
      </w:r>
      <w:r w:rsidRPr="007511D7">
        <w:rPr>
          <w:sz w:val="20"/>
          <w:szCs w:val="20"/>
        </w:rPr>
        <w:t>:  Comparative Content and Style Journal:</w:t>
      </w:r>
    </w:p>
    <w:p w:rsidR="00937899" w:rsidRPr="007511D7" w:rsidRDefault="00937899" w:rsidP="00937899">
      <w:pPr>
        <w:spacing w:after="0" w:line="240" w:lineRule="auto"/>
        <w:jc w:val="both"/>
        <w:rPr>
          <w:sz w:val="20"/>
          <w:szCs w:val="20"/>
        </w:rPr>
      </w:pPr>
    </w:p>
    <w:p w:rsidR="00593D95" w:rsidRPr="007511D7" w:rsidRDefault="00937899" w:rsidP="00AD2930">
      <w:pPr>
        <w:spacing w:after="0" w:line="240" w:lineRule="auto"/>
        <w:jc w:val="both"/>
        <w:rPr>
          <w:sz w:val="20"/>
          <w:szCs w:val="20"/>
        </w:rPr>
      </w:pPr>
      <w:r w:rsidRPr="007511D7">
        <w:rPr>
          <w:sz w:val="20"/>
          <w:szCs w:val="20"/>
        </w:rPr>
        <w:t xml:space="preserve">Now that you have read and explored the introductions of Arthur Haberman’s </w:t>
      </w:r>
      <w:r w:rsidRPr="007511D7">
        <w:rPr>
          <w:i/>
          <w:sz w:val="20"/>
          <w:szCs w:val="20"/>
        </w:rPr>
        <w:t xml:space="preserve">The West and The World </w:t>
      </w:r>
      <w:r w:rsidRPr="007511D7">
        <w:rPr>
          <w:sz w:val="20"/>
          <w:szCs w:val="20"/>
        </w:rPr>
        <w:t xml:space="preserve">and the beginning of Niall Ferguson’s </w:t>
      </w:r>
      <w:r w:rsidR="00593D95" w:rsidRPr="007511D7">
        <w:rPr>
          <w:i/>
          <w:sz w:val="20"/>
          <w:szCs w:val="20"/>
        </w:rPr>
        <w:t>Civilization</w:t>
      </w:r>
      <w:r w:rsidR="00593D95" w:rsidRPr="007511D7">
        <w:rPr>
          <w:sz w:val="20"/>
          <w:szCs w:val="20"/>
        </w:rPr>
        <w:t>, you will explore and consider both in the form of a comparative journal.</w:t>
      </w:r>
      <w:r w:rsidR="007511D7">
        <w:rPr>
          <w:sz w:val="20"/>
          <w:szCs w:val="20"/>
        </w:rPr>
        <w:t xml:space="preserve">  </w:t>
      </w:r>
      <w:r w:rsidR="00593D95" w:rsidRPr="007511D7">
        <w:rPr>
          <w:sz w:val="20"/>
          <w:szCs w:val="20"/>
        </w:rPr>
        <w:t xml:space="preserve">The journal, in total, will be </w:t>
      </w:r>
      <w:r w:rsidR="00AD2930">
        <w:rPr>
          <w:sz w:val="20"/>
          <w:szCs w:val="20"/>
        </w:rPr>
        <w:t>eleven paragraphs in length</w:t>
      </w:r>
      <w:r w:rsidR="00593D95" w:rsidRPr="007511D7">
        <w:rPr>
          <w:sz w:val="20"/>
          <w:szCs w:val="20"/>
        </w:rPr>
        <w:t>.  It will be structured as follows:</w:t>
      </w:r>
    </w:p>
    <w:p w:rsidR="00593D95" w:rsidRPr="007511D7" w:rsidRDefault="00593D95" w:rsidP="00593D95">
      <w:pPr>
        <w:spacing w:after="0" w:line="240" w:lineRule="auto"/>
        <w:ind w:left="720"/>
        <w:jc w:val="both"/>
        <w:rPr>
          <w:sz w:val="20"/>
          <w:szCs w:val="20"/>
        </w:rPr>
      </w:pPr>
    </w:p>
    <w:p w:rsidR="00593D95" w:rsidRPr="007511D7" w:rsidRDefault="00980DDB" w:rsidP="00593D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11D7">
        <w:rPr>
          <w:sz w:val="20"/>
          <w:szCs w:val="20"/>
        </w:rPr>
        <w:t>As an introduction, briefly present each of the texts.  Note the title and author of each, and offer a very short description of each.</w:t>
      </w:r>
      <w:r w:rsidR="00AD2930">
        <w:rPr>
          <w:sz w:val="20"/>
          <w:szCs w:val="20"/>
        </w:rPr>
        <w:t xml:space="preserve">  This will be two paragraphs in length.</w:t>
      </w:r>
    </w:p>
    <w:p w:rsidR="00346D49" w:rsidRPr="007511D7" w:rsidRDefault="00346D49" w:rsidP="00346D49">
      <w:pPr>
        <w:pStyle w:val="ListParagraph"/>
        <w:rPr>
          <w:sz w:val="20"/>
          <w:szCs w:val="20"/>
        </w:rPr>
      </w:pPr>
    </w:p>
    <w:p w:rsidR="00346D49" w:rsidRPr="007511D7" w:rsidRDefault="00346D49" w:rsidP="00593D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11D7">
        <w:rPr>
          <w:sz w:val="20"/>
          <w:szCs w:val="20"/>
        </w:rPr>
        <w:t xml:space="preserve">Next, indicate how </w:t>
      </w:r>
      <w:r w:rsidRPr="007511D7">
        <w:rPr>
          <w:i/>
          <w:sz w:val="20"/>
          <w:szCs w:val="20"/>
        </w:rPr>
        <w:t xml:space="preserve">The West and The World </w:t>
      </w:r>
      <w:r w:rsidRPr="007511D7">
        <w:rPr>
          <w:sz w:val="20"/>
          <w:szCs w:val="20"/>
        </w:rPr>
        <w:t xml:space="preserve">and </w:t>
      </w:r>
      <w:r w:rsidRPr="007511D7">
        <w:rPr>
          <w:i/>
          <w:sz w:val="20"/>
          <w:szCs w:val="20"/>
        </w:rPr>
        <w:t>Civilization</w:t>
      </w:r>
      <w:r w:rsidRPr="007511D7">
        <w:rPr>
          <w:sz w:val="20"/>
          <w:szCs w:val="20"/>
        </w:rPr>
        <w:t xml:space="preserve"> </w:t>
      </w:r>
      <w:r w:rsidR="00DA3A18" w:rsidRPr="007511D7">
        <w:rPr>
          <w:sz w:val="20"/>
          <w:szCs w:val="20"/>
        </w:rPr>
        <w:t xml:space="preserve">are similar </w:t>
      </w:r>
      <w:r w:rsidR="002B390F">
        <w:rPr>
          <w:sz w:val="20"/>
          <w:szCs w:val="20"/>
        </w:rPr>
        <w:t xml:space="preserve">and/or different </w:t>
      </w:r>
      <w:r w:rsidR="00DA3A18" w:rsidRPr="007511D7">
        <w:rPr>
          <w:sz w:val="20"/>
          <w:szCs w:val="20"/>
        </w:rPr>
        <w:t xml:space="preserve">in terms of their content.  This section should be four paragraphs, </w:t>
      </w:r>
      <w:r w:rsidR="002B1ADA" w:rsidRPr="007511D7">
        <w:rPr>
          <w:sz w:val="20"/>
          <w:szCs w:val="20"/>
        </w:rPr>
        <w:t>and each of these paragraphs must include a direct quotation, cited in Chicago Style.</w:t>
      </w:r>
    </w:p>
    <w:p w:rsidR="002B1ADA" w:rsidRPr="007511D7" w:rsidRDefault="002B1ADA" w:rsidP="002B1ADA">
      <w:pPr>
        <w:pStyle w:val="ListParagraph"/>
        <w:rPr>
          <w:sz w:val="20"/>
          <w:szCs w:val="20"/>
        </w:rPr>
      </w:pPr>
    </w:p>
    <w:p w:rsidR="002B1ADA" w:rsidRPr="007511D7" w:rsidRDefault="002B1ADA" w:rsidP="002B1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11D7">
        <w:rPr>
          <w:sz w:val="20"/>
          <w:szCs w:val="20"/>
        </w:rPr>
        <w:t xml:space="preserve">Following this, explain how </w:t>
      </w:r>
      <w:r w:rsidRPr="007511D7">
        <w:rPr>
          <w:i/>
          <w:sz w:val="20"/>
          <w:szCs w:val="20"/>
        </w:rPr>
        <w:t xml:space="preserve">The West and The World </w:t>
      </w:r>
      <w:r w:rsidRPr="007511D7">
        <w:rPr>
          <w:sz w:val="20"/>
          <w:szCs w:val="20"/>
        </w:rPr>
        <w:t xml:space="preserve">and </w:t>
      </w:r>
      <w:r w:rsidRPr="007511D7">
        <w:rPr>
          <w:i/>
          <w:sz w:val="20"/>
          <w:szCs w:val="20"/>
        </w:rPr>
        <w:t>Civilization</w:t>
      </w:r>
      <w:r w:rsidRPr="007511D7">
        <w:rPr>
          <w:sz w:val="20"/>
          <w:szCs w:val="20"/>
        </w:rPr>
        <w:t xml:space="preserve"> are similar </w:t>
      </w:r>
      <w:r w:rsidR="002B390F">
        <w:rPr>
          <w:sz w:val="20"/>
          <w:szCs w:val="20"/>
        </w:rPr>
        <w:t xml:space="preserve">and/or different </w:t>
      </w:r>
      <w:bookmarkStart w:id="0" w:name="_GoBack"/>
      <w:bookmarkEnd w:id="0"/>
      <w:r w:rsidRPr="007511D7">
        <w:rPr>
          <w:sz w:val="20"/>
          <w:szCs w:val="20"/>
        </w:rPr>
        <w:t>in terms of their style.  Again, this section should be four paragraphs, and each of these paragraphs must include a direct quotation, cited in Chicago Style.</w:t>
      </w:r>
    </w:p>
    <w:p w:rsidR="002B1ADA" w:rsidRPr="007511D7" w:rsidRDefault="002B1ADA" w:rsidP="002B1ADA">
      <w:pPr>
        <w:pStyle w:val="ListParagraph"/>
        <w:rPr>
          <w:sz w:val="20"/>
          <w:szCs w:val="20"/>
        </w:rPr>
      </w:pPr>
    </w:p>
    <w:p w:rsidR="007511D7" w:rsidRDefault="002B1ADA" w:rsidP="00751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11D7">
        <w:rPr>
          <w:sz w:val="20"/>
          <w:szCs w:val="20"/>
        </w:rPr>
        <w:t xml:space="preserve">As a conclusion, </w:t>
      </w:r>
      <w:r w:rsidR="00F847C2" w:rsidRPr="007511D7">
        <w:rPr>
          <w:sz w:val="20"/>
          <w:szCs w:val="20"/>
        </w:rPr>
        <w:t xml:space="preserve">explain, based on your reading, prior history, and inferences, </w:t>
      </w:r>
      <w:r w:rsidR="007F0DB6" w:rsidRPr="007511D7">
        <w:rPr>
          <w:sz w:val="20"/>
          <w:szCs w:val="20"/>
        </w:rPr>
        <w:t>offer your idea as to which of the texts is most effective for “learning”.  For the purposes of this conclusion, you will need to create a “working definition” of the term “learning”.</w:t>
      </w:r>
      <w:r w:rsidR="00AD2930">
        <w:rPr>
          <w:sz w:val="20"/>
          <w:szCs w:val="20"/>
        </w:rPr>
        <w:t xml:space="preserve">  This will be one paragraph in length.</w:t>
      </w:r>
    </w:p>
    <w:p w:rsidR="007511D7" w:rsidRPr="007511D7" w:rsidRDefault="007511D7" w:rsidP="007511D7">
      <w:pPr>
        <w:spacing w:after="0" w:line="240" w:lineRule="auto"/>
        <w:jc w:val="both"/>
        <w:rPr>
          <w:sz w:val="20"/>
          <w:szCs w:val="20"/>
        </w:rPr>
      </w:pPr>
    </w:p>
    <w:p w:rsidR="007511D7" w:rsidRDefault="007511D7" w:rsidP="007511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Journals will be marked based on the following criteria:</w:t>
      </w:r>
    </w:p>
    <w:p w:rsidR="007511D7" w:rsidRPr="007511D7" w:rsidRDefault="007511D7" w:rsidP="007511D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511D7" w:rsidRPr="007511D7" w:rsidTr="00815AFE"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Level I</w:t>
            </w: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Level II</w:t>
            </w: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Level III</w:t>
            </w:r>
          </w:p>
        </w:tc>
        <w:tc>
          <w:tcPr>
            <w:tcW w:w="1772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Level IV</w:t>
            </w:r>
          </w:p>
        </w:tc>
      </w:tr>
      <w:tr w:rsidR="007511D7" w:rsidRPr="007511D7" w:rsidTr="00815AFE"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Application:  Does the journal use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 xml:space="preserve">The West and The World 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>to answer the questions?</w:t>
            </w:r>
          </w:p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 xml:space="preserve">The West and The World 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>to answer the questions in a limited fashion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The West and The World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 well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 xml:space="preserve">The West and The World 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>to answer the questions very well</w:t>
            </w:r>
          </w:p>
        </w:tc>
        <w:tc>
          <w:tcPr>
            <w:tcW w:w="1772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 xml:space="preserve">The West and The World 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>to answer the questions excellently</w:t>
            </w:r>
          </w:p>
        </w:tc>
      </w:tr>
      <w:tr w:rsidR="007511D7" w:rsidRPr="007511D7" w:rsidTr="00815AFE"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Application:  Does the journal use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Civilization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questions?</w:t>
            </w:r>
          </w:p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Civilization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 in a limited fashion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Civilization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 well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Civilization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 very well</w:t>
            </w:r>
          </w:p>
        </w:tc>
        <w:tc>
          <w:tcPr>
            <w:tcW w:w="1772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 xml:space="preserve">The journal uses knowledge from </w:t>
            </w:r>
            <w:r w:rsidRPr="007511D7">
              <w:rPr>
                <w:rFonts w:asciiTheme="minorHAnsi" w:hAnsiTheme="minorHAnsi"/>
                <w:i/>
                <w:sz w:val="20"/>
                <w:szCs w:val="20"/>
              </w:rPr>
              <w:t>Civilization</w:t>
            </w:r>
            <w:r w:rsidRPr="007511D7">
              <w:rPr>
                <w:rFonts w:asciiTheme="minorHAnsi" w:hAnsiTheme="minorHAnsi"/>
                <w:sz w:val="20"/>
                <w:szCs w:val="20"/>
              </w:rPr>
              <w:t xml:space="preserve"> to answer the questions excellently</w:t>
            </w:r>
          </w:p>
        </w:tc>
      </w:tr>
      <w:tr w:rsidR="007511D7" w:rsidRPr="007511D7" w:rsidTr="00815AFE"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Communication:  Does the journal offer unique, insightful observations?</w:t>
            </w:r>
          </w:p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journal offers unique, insightful observations that are limited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journal offers unique, insightful observations that are good</w:t>
            </w:r>
          </w:p>
        </w:tc>
        <w:tc>
          <w:tcPr>
            <w:tcW w:w="1771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journal offers unique, insightful observations that are very good</w:t>
            </w:r>
          </w:p>
        </w:tc>
        <w:tc>
          <w:tcPr>
            <w:tcW w:w="1772" w:type="dxa"/>
          </w:tcPr>
          <w:p w:rsidR="007511D7" w:rsidRPr="007511D7" w:rsidRDefault="007511D7" w:rsidP="007511D7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journal offers unique, insightful observations that are excellent</w:t>
            </w:r>
          </w:p>
        </w:tc>
      </w:tr>
      <w:tr w:rsidR="007511D7" w:rsidRPr="007511D7" w:rsidTr="00815AFE"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Communication:  Is the journal well written, both stylistically and mechanically?</w:t>
            </w:r>
          </w:p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style and mechanics of the journal are both poor</w:t>
            </w: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style and mechanics of the journal are both good</w:t>
            </w:r>
          </w:p>
        </w:tc>
        <w:tc>
          <w:tcPr>
            <w:tcW w:w="1771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style and mechanics of the journal are both very good</w:t>
            </w:r>
          </w:p>
        </w:tc>
        <w:tc>
          <w:tcPr>
            <w:tcW w:w="1772" w:type="dxa"/>
          </w:tcPr>
          <w:p w:rsidR="007511D7" w:rsidRPr="007511D7" w:rsidRDefault="007511D7" w:rsidP="00815AFE">
            <w:pPr>
              <w:rPr>
                <w:rFonts w:asciiTheme="minorHAnsi" w:hAnsiTheme="minorHAnsi"/>
                <w:sz w:val="20"/>
                <w:szCs w:val="20"/>
              </w:rPr>
            </w:pPr>
            <w:r w:rsidRPr="007511D7">
              <w:rPr>
                <w:rFonts w:asciiTheme="minorHAnsi" w:hAnsiTheme="minorHAnsi"/>
                <w:sz w:val="20"/>
                <w:szCs w:val="20"/>
              </w:rPr>
              <w:t>The style and mechanics of the journal are both excellent</w:t>
            </w:r>
          </w:p>
        </w:tc>
      </w:tr>
    </w:tbl>
    <w:p w:rsidR="007511D7" w:rsidRPr="007511D7" w:rsidRDefault="007511D7" w:rsidP="007511D7">
      <w:pPr>
        <w:spacing w:after="0" w:line="240" w:lineRule="auto"/>
        <w:jc w:val="both"/>
        <w:rPr>
          <w:sz w:val="20"/>
          <w:szCs w:val="20"/>
        </w:rPr>
      </w:pPr>
    </w:p>
    <w:sectPr w:rsidR="007511D7" w:rsidRPr="0075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F1"/>
    <w:multiLevelType w:val="hybridMultilevel"/>
    <w:tmpl w:val="4E3E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99"/>
    <w:rsid w:val="002B1ADA"/>
    <w:rsid w:val="002B390F"/>
    <w:rsid w:val="00346D49"/>
    <w:rsid w:val="00593D95"/>
    <w:rsid w:val="007511D7"/>
    <w:rsid w:val="007F0DB6"/>
    <w:rsid w:val="007F591A"/>
    <w:rsid w:val="00937899"/>
    <w:rsid w:val="00980DDB"/>
    <w:rsid w:val="00AD2930"/>
    <w:rsid w:val="00DA3A18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95"/>
    <w:pPr>
      <w:ind w:left="720"/>
      <w:contextualSpacing/>
    </w:pPr>
  </w:style>
  <w:style w:type="table" w:styleId="TableGrid">
    <w:name w:val="Table Grid"/>
    <w:basedOn w:val="TableNormal"/>
    <w:uiPriority w:val="59"/>
    <w:rsid w:val="007511D7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95"/>
    <w:pPr>
      <w:ind w:left="720"/>
      <w:contextualSpacing/>
    </w:pPr>
  </w:style>
  <w:style w:type="table" w:styleId="TableGrid">
    <w:name w:val="Table Grid"/>
    <w:basedOn w:val="TableNormal"/>
    <w:uiPriority w:val="59"/>
    <w:rsid w:val="007511D7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11</cp:revision>
  <dcterms:created xsi:type="dcterms:W3CDTF">2017-02-02T17:29:00Z</dcterms:created>
  <dcterms:modified xsi:type="dcterms:W3CDTF">2017-02-15T15:39:00Z</dcterms:modified>
</cp:coreProperties>
</file>