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C6D" w:rsidRPr="006C0C6D" w:rsidRDefault="006C0C6D" w:rsidP="006C0C6D">
      <w:pPr>
        <w:widowControl w:val="0"/>
        <w:autoSpaceDE w:val="0"/>
        <w:autoSpaceDN w:val="0"/>
        <w:adjustRightInd w:val="0"/>
        <w:rPr>
          <w:rFonts w:cs="Arial"/>
          <w:sz w:val="20"/>
          <w:szCs w:val="20"/>
          <w:lang w:val="en-US"/>
        </w:rPr>
      </w:pPr>
      <w:r w:rsidRPr="006C0C6D">
        <w:rPr>
          <w:rFonts w:cs="Arial"/>
          <w:sz w:val="20"/>
          <w:szCs w:val="20"/>
          <w:lang w:val="en-US"/>
        </w:rPr>
        <w:t>A Miscarriage of J</w:t>
      </w:r>
      <w:r w:rsidRPr="006C0C6D">
        <w:rPr>
          <w:rFonts w:cs="Arial"/>
          <w:sz w:val="20"/>
          <w:szCs w:val="20"/>
          <w:lang w:val="en-US"/>
        </w:rPr>
        <w:t>ustice</w:t>
      </w:r>
      <w:r w:rsidRPr="006C0C6D">
        <w:rPr>
          <w:rFonts w:cs="Arial"/>
          <w:sz w:val="20"/>
          <w:szCs w:val="20"/>
          <w:lang w:val="en-US"/>
        </w:rPr>
        <w:t>:</w:t>
      </w:r>
    </w:p>
    <w:p w:rsidR="006C0C6D" w:rsidRPr="006C0C6D" w:rsidRDefault="006C0C6D" w:rsidP="006C0C6D">
      <w:pPr>
        <w:widowControl w:val="0"/>
        <w:autoSpaceDE w:val="0"/>
        <w:autoSpaceDN w:val="0"/>
        <w:adjustRightInd w:val="0"/>
        <w:rPr>
          <w:rFonts w:cs="Arial"/>
          <w:sz w:val="20"/>
          <w:szCs w:val="20"/>
          <w:lang w:val="en-US"/>
        </w:rPr>
      </w:pPr>
    </w:p>
    <w:p w:rsidR="006C0C6D" w:rsidRPr="006C0C6D" w:rsidRDefault="006C0C6D" w:rsidP="006C0C6D">
      <w:pPr>
        <w:widowControl w:val="0"/>
        <w:autoSpaceDE w:val="0"/>
        <w:autoSpaceDN w:val="0"/>
        <w:adjustRightInd w:val="0"/>
        <w:rPr>
          <w:rFonts w:cs="Arial"/>
          <w:sz w:val="20"/>
          <w:szCs w:val="20"/>
          <w:lang w:val="en-US"/>
        </w:rPr>
      </w:pPr>
      <w:r w:rsidRPr="006C0C6D">
        <w:rPr>
          <w:rFonts w:cs="Arial"/>
          <w:sz w:val="20"/>
          <w:szCs w:val="20"/>
          <w:lang w:val="en-US"/>
        </w:rPr>
        <w:t xml:space="preserve">A miscarriage of justice is considered to have occurred when an innocent person is wrongly convicted of a criminal offence. The Canadian justice system is not immune to miscarriages of justice. In recent years several prominent cases regarding wrongfully convicted individuals have surfaced. Names such as Donald Marshall Jr., Guy Paul Morin, David </w:t>
      </w:r>
      <w:proofErr w:type="spellStart"/>
      <w:r w:rsidRPr="006C0C6D">
        <w:rPr>
          <w:rFonts w:cs="Arial"/>
          <w:sz w:val="20"/>
          <w:szCs w:val="20"/>
          <w:lang w:val="en-US"/>
        </w:rPr>
        <w:t>Milgaard</w:t>
      </w:r>
      <w:proofErr w:type="spellEnd"/>
      <w:r w:rsidRPr="006C0C6D">
        <w:rPr>
          <w:rFonts w:cs="Arial"/>
          <w:sz w:val="20"/>
          <w:szCs w:val="20"/>
          <w:lang w:val="en-US"/>
        </w:rPr>
        <w:t xml:space="preserve"> and Thomas </w:t>
      </w:r>
      <w:proofErr w:type="spellStart"/>
      <w:r w:rsidRPr="006C0C6D">
        <w:rPr>
          <w:rFonts w:cs="Arial"/>
          <w:sz w:val="20"/>
          <w:szCs w:val="20"/>
          <w:lang w:val="en-US"/>
        </w:rPr>
        <w:t>Sophonow</w:t>
      </w:r>
      <w:proofErr w:type="spellEnd"/>
      <w:r w:rsidRPr="006C0C6D">
        <w:rPr>
          <w:rFonts w:cs="Arial"/>
          <w:sz w:val="20"/>
          <w:szCs w:val="20"/>
          <w:lang w:val="en-US"/>
        </w:rPr>
        <w:t xml:space="preserve"> are widely known, as each was wrongly convicted of murder. Some spent years in prison before their release. Wrongful convictions can happen as a result of mistakes in </w:t>
      </w:r>
      <w:proofErr w:type="gramStart"/>
      <w:r w:rsidRPr="006C0C6D">
        <w:rPr>
          <w:rFonts w:cs="Arial"/>
          <w:sz w:val="20"/>
          <w:szCs w:val="20"/>
          <w:lang w:val="en-US"/>
        </w:rPr>
        <w:t>eye witness</w:t>
      </w:r>
      <w:proofErr w:type="gramEnd"/>
      <w:r w:rsidRPr="006C0C6D">
        <w:rPr>
          <w:rFonts w:cs="Arial"/>
          <w:sz w:val="20"/>
          <w:szCs w:val="20"/>
          <w:lang w:val="en-US"/>
        </w:rPr>
        <w:t xml:space="preserve"> identification, perjury, incompetent legal defence, false confessions, over eager prosecutors and investigators, or errors made by forensic experts.</w:t>
      </w:r>
    </w:p>
    <w:p w:rsidR="006C0C6D" w:rsidRPr="006C0C6D" w:rsidRDefault="006C0C6D" w:rsidP="006C0C6D">
      <w:pPr>
        <w:widowControl w:val="0"/>
        <w:autoSpaceDE w:val="0"/>
        <w:autoSpaceDN w:val="0"/>
        <w:adjustRightInd w:val="0"/>
        <w:rPr>
          <w:rFonts w:cs="Arial"/>
          <w:sz w:val="20"/>
          <w:szCs w:val="20"/>
          <w:lang w:val="en-US"/>
        </w:rPr>
      </w:pPr>
    </w:p>
    <w:p w:rsidR="006C0C6D" w:rsidRPr="006C0C6D" w:rsidRDefault="006C0C6D" w:rsidP="006C0C6D">
      <w:pPr>
        <w:widowControl w:val="0"/>
        <w:autoSpaceDE w:val="0"/>
        <w:autoSpaceDN w:val="0"/>
        <w:adjustRightInd w:val="0"/>
        <w:rPr>
          <w:rFonts w:cs="Arial"/>
          <w:sz w:val="20"/>
          <w:szCs w:val="20"/>
          <w:lang w:val="en-US"/>
        </w:rPr>
      </w:pPr>
      <w:r w:rsidRPr="006C0C6D">
        <w:rPr>
          <w:rFonts w:cs="Arial"/>
          <w:sz w:val="20"/>
          <w:szCs w:val="20"/>
          <w:lang w:val="en-US"/>
        </w:rPr>
        <w:t xml:space="preserve">A miscarriage of justice is also occurs when guilty people are released because of a rights violation or procedural technicality. While allowing a guilty person to go free on a procedural technicality or a violation of rights is a horrible prospect to most Canadians, these laws serve a greater purpose i.e., to protect the rights of all citizens. If we do not safeguard our rights against unreasonable search or arbitrary detentions or access to legal counsel, all of society suffers, as these rights are the </w:t>
      </w:r>
      <w:proofErr w:type="gramStart"/>
      <w:r w:rsidRPr="006C0C6D">
        <w:rPr>
          <w:rFonts w:cs="Arial"/>
          <w:sz w:val="20"/>
          <w:szCs w:val="20"/>
          <w:lang w:val="en-US"/>
        </w:rPr>
        <w:t>cornerstone</w:t>
      </w:r>
      <w:proofErr w:type="gramEnd"/>
      <w:r w:rsidRPr="006C0C6D">
        <w:rPr>
          <w:rFonts w:cs="Arial"/>
          <w:sz w:val="20"/>
          <w:szCs w:val="20"/>
          <w:lang w:val="en-US"/>
        </w:rPr>
        <w:t xml:space="preserve"> of our justice system. To protect the innocent, we must also guarantee the rights of the guilty too.</w:t>
      </w:r>
    </w:p>
    <w:p w:rsidR="006C0C6D" w:rsidRPr="006C0C6D" w:rsidRDefault="006C0C6D" w:rsidP="006C0C6D">
      <w:pPr>
        <w:widowControl w:val="0"/>
        <w:autoSpaceDE w:val="0"/>
        <w:autoSpaceDN w:val="0"/>
        <w:adjustRightInd w:val="0"/>
        <w:rPr>
          <w:rFonts w:cs="Arial"/>
          <w:sz w:val="20"/>
          <w:szCs w:val="20"/>
          <w:lang w:val="en-US"/>
        </w:rPr>
      </w:pPr>
    </w:p>
    <w:p w:rsidR="006C0C6D" w:rsidRPr="006C0C6D" w:rsidRDefault="006C0C6D" w:rsidP="006C0C6D">
      <w:pPr>
        <w:widowControl w:val="0"/>
        <w:autoSpaceDE w:val="0"/>
        <w:autoSpaceDN w:val="0"/>
        <w:adjustRightInd w:val="0"/>
        <w:rPr>
          <w:rFonts w:cs="Arial"/>
          <w:sz w:val="20"/>
          <w:szCs w:val="20"/>
          <w:lang w:val="en-US"/>
        </w:rPr>
      </w:pPr>
      <w:r w:rsidRPr="006C0C6D">
        <w:rPr>
          <w:rFonts w:cs="Arial"/>
          <w:sz w:val="20"/>
          <w:szCs w:val="20"/>
          <w:lang w:val="en-US"/>
        </w:rPr>
        <w:t>Additional Resources:</w:t>
      </w:r>
    </w:p>
    <w:p w:rsidR="006C0C6D" w:rsidRPr="006C0C6D" w:rsidRDefault="006C0C6D" w:rsidP="006C0C6D">
      <w:pPr>
        <w:widowControl w:val="0"/>
        <w:autoSpaceDE w:val="0"/>
        <w:autoSpaceDN w:val="0"/>
        <w:adjustRightInd w:val="0"/>
        <w:rPr>
          <w:rFonts w:cs="Arial"/>
          <w:sz w:val="20"/>
          <w:szCs w:val="20"/>
          <w:lang w:val="en-US"/>
        </w:rPr>
      </w:pPr>
      <w:r w:rsidRPr="006C0C6D">
        <w:rPr>
          <w:rFonts w:cs="Arial"/>
          <w:sz w:val="20"/>
          <w:szCs w:val="20"/>
          <w:lang w:val="en-US"/>
        </w:rPr>
        <w:t> </w:t>
      </w:r>
    </w:p>
    <w:p w:rsidR="006C0C6D" w:rsidRPr="006C0C6D" w:rsidRDefault="006C0C6D" w:rsidP="006C0C6D">
      <w:pPr>
        <w:widowControl w:val="0"/>
        <w:tabs>
          <w:tab w:val="left" w:pos="220"/>
          <w:tab w:val="left" w:pos="720"/>
        </w:tabs>
        <w:autoSpaceDE w:val="0"/>
        <w:autoSpaceDN w:val="0"/>
        <w:adjustRightInd w:val="0"/>
        <w:rPr>
          <w:rFonts w:cs="Arial"/>
          <w:sz w:val="20"/>
          <w:szCs w:val="20"/>
          <w:lang w:val="en-US"/>
        </w:rPr>
      </w:pPr>
      <w:hyperlink r:id="rId6" w:history="1">
        <w:r w:rsidRPr="006C0C6D">
          <w:rPr>
            <w:rFonts w:cs="Arial"/>
            <w:color w:val="0000E9"/>
            <w:sz w:val="20"/>
            <w:szCs w:val="20"/>
            <w:u w:val="single"/>
            <w:lang w:val="en-US"/>
          </w:rPr>
          <w:t>CBC News B</w:t>
        </w:r>
        <w:r w:rsidRPr="006C0C6D">
          <w:rPr>
            <w:rFonts w:cs="Arial"/>
            <w:color w:val="0000E9"/>
            <w:sz w:val="20"/>
            <w:szCs w:val="20"/>
            <w:u w:val="single"/>
            <w:lang w:val="en-US"/>
          </w:rPr>
          <w:t>ackgrounder</w:t>
        </w:r>
      </w:hyperlink>
    </w:p>
    <w:p w:rsidR="006C0C6D" w:rsidRPr="006C0C6D" w:rsidRDefault="006C0C6D" w:rsidP="006C0C6D">
      <w:pPr>
        <w:widowControl w:val="0"/>
        <w:tabs>
          <w:tab w:val="left" w:pos="220"/>
          <w:tab w:val="left" w:pos="720"/>
        </w:tabs>
        <w:autoSpaceDE w:val="0"/>
        <w:autoSpaceDN w:val="0"/>
        <w:adjustRightInd w:val="0"/>
        <w:rPr>
          <w:rFonts w:cs="Arial"/>
          <w:sz w:val="20"/>
          <w:szCs w:val="20"/>
          <w:lang w:val="en-US"/>
        </w:rPr>
      </w:pPr>
      <w:hyperlink r:id="rId7" w:history="1">
        <w:r w:rsidRPr="006C0C6D">
          <w:rPr>
            <w:rFonts w:cs="Arial"/>
            <w:color w:val="0000E9"/>
            <w:sz w:val="20"/>
            <w:szCs w:val="20"/>
            <w:u w:val="single"/>
            <w:lang w:val="en-US"/>
          </w:rPr>
          <w:t>Association in Defence of the Wrongfully Convicted</w:t>
        </w:r>
      </w:hyperlink>
    </w:p>
    <w:p w:rsidR="006C0C6D" w:rsidRPr="006C0C6D" w:rsidRDefault="006C0C6D" w:rsidP="006C0C6D">
      <w:pPr>
        <w:widowControl w:val="0"/>
        <w:tabs>
          <w:tab w:val="left" w:pos="220"/>
          <w:tab w:val="left" w:pos="720"/>
        </w:tabs>
        <w:autoSpaceDE w:val="0"/>
        <w:autoSpaceDN w:val="0"/>
        <w:adjustRightInd w:val="0"/>
        <w:rPr>
          <w:rFonts w:cs="Arial"/>
          <w:sz w:val="20"/>
          <w:szCs w:val="20"/>
          <w:lang w:val="en-US"/>
        </w:rPr>
      </w:pPr>
      <w:hyperlink r:id="rId8" w:history="1">
        <w:r w:rsidRPr="006C0C6D">
          <w:rPr>
            <w:rFonts w:cs="Arial"/>
            <w:color w:val="0000E9"/>
            <w:sz w:val="20"/>
            <w:szCs w:val="20"/>
            <w:u w:val="single"/>
            <w:lang w:val="en-US"/>
          </w:rPr>
          <w:t>Canadian Review of Policing article</w:t>
        </w:r>
      </w:hyperlink>
    </w:p>
    <w:p w:rsidR="006C0C6D" w:rsidRPr="006C0C6D" w:rsidRDefault="006C0C6D" w:rsidP="006C0C6D">
      <w:pPr>
        <w:widowControl w:val="0"/>
        <w:tabs>
          <w:tab w:val="left" w:pos="220"/>
          <w:tab w:val="left" w:pos="720"/>
        </w:tabs>
        <w:autoSpaceDE w:val="0"/>
        <w:autoSpaceDN w:val="0"/>
        <w:adjustRightInd w:val="0"/>
        <w:rPr>
          <w:rFonts w:cs="Arial"/>
          <w:sz w:val="20"/>
          <w:szCs w:val="20"/>
          <w:lang w:val="en-US"/>
        </w:rPr>
      </w:pPr>
      <w:hyperlink r:id="rId9" w:history="1">
        <w:r w:rsidRPr="006C0C6D">
          <w:rPr>
            <w:rFonts w:cs="Arial"/>
            <w:color w:val="0000E9"/>
            <w:sz w:val="20"/>
            <w:szCs w:val="20"/>
            <w:u w:val="single"/>
            <w:lang w:val="en-US"/>
          </w:rPr>
          <w:t>Misuse of Forensic Evidence in the Morin Case</w:t>
        </w:r>
      </w:hyperlink>
    </w:p>
    <w:p w:rsidR="006C0C6D" w:rsidRPr="006C0C6D" w:rsidRDefault="006C0C6D" w:rsidP="006C0C6D">
      <w:pPr>
        <w:widowControl w:val="0"/>
        <w:tabs>
          <w:tab w:val="left" w:pos="220"/>
          <w:tab w:val="left" w:pos="720"/>
        </w:tabs>
        <w:autoSpaceDE w:val="0"/>
        <w:autoSpaceDN w:val="0"/>
        <w:adjustRightInd w:val="0"/>
        <w:rPr>
          <w:rFonts w:cs="Arial"/>
          <w:sz w:val="20"/>
          <w:szCs w:val="20"/>
          <w:lang w:val="en-US"/>
        </w:rPr>
      </w:pPr>
      <w:hyperlink r:id="rId10" w:history="1">
        <w:r w:rsidRPr="006C0C6D">
          <w:rPr>
            <w:rFonts w:cs="Arial"/>
            <w:color w:val="0000E9"/>
            <w:sz w:val="20"/>
            <w:szCs w:val="20"/>
            <w:u w:val="single"/>
            <w:lang w:val="en-US"/>
          </w:rPr>
          <w:t xml:space="preserve">CBC backgrounder, David </w:t>
        </w:r>
        <w:proofErr w:type="spellStart"/>
        <w:r w:rsidRPr="006C0C6D">
          <w:rPr>
            <w:rFonts w:cs="Arial"/>
            <w:color w:val="0000E9"/>
            <w:sz w:val="20"/>
            <w:szCs w:val="20"/>
            <w:u w:val="single"/>
            <w:lang w:val="en-US"/>
          </w:rPr>
          <w:t>Milgaard</w:t>
        </w:r>
        <w:proofErr w:type="spellEnd"/>
      </w:hyperlink>
    </w:p>
    <w:p w:rsidR="006C0C6D" w:rsidRPr="006C0C6D" w:rsidRDefault="006C0C6D" w:rsidP="006C0C6D">
      <w:pPr>
        <w:widowControl w:val="0"/>
        <w:tabs>
          <w:tab w:val="left" w:pos="220"/>
          <w:tab w:val="left" w:pos="720"/>
        </w:tabs>
        <w:autoSpaceDE w:val="0"/>
        <w:autoSpaceDN w:val="0"/>
        <w:adjustRightInd w:val="0"/>
        <w:rPr>
          <w:rFonts w:cs="Arial"/>
          <w:sz w:val="20"/>
          <w:szCs w:val="20"/>
          <w:lang w:val="en-US"/>
        </w:rPr>
      </w:pPr>
      <w:hyperlink r:id="rId11" w:history="1">
        <w:r w:rsidRPr="006C0C6D">
          <w:rPr>
            <w:rFonts w:cs="Arial"/>
            <w:color w:val="0000E9"/>
            <w:sz w:val="20"/>
            <w:szCs w:val="20"/>
            <w:u w:val="single"/>
            <w:lang w:val="en-US"/>
          </w:rPr>
          <w:t xml:space="preserve">CBC backgrounder video report, David </w:t>
        </w:r>
        <w:proofErr w:type="spellStart"/>
        <w:r w:rsidRPr="006C0C6D">
          <w:rPr>
            <w:rFonts w:cs="Arial"/>
            <w:color w:val="0000E9"/>
            <w:sz w:val="20"/>
            <w:szCs w:val="20"/>
            <w:u w:val="single"/>
            <w:lang w:val="en-US"/>
          </w:rPr>
          <w:t>Milgaard</w:t>
        </w:r>
        <w:proofErr w:type="spellEnd"/>
      </w:hyperlink>
    </w:p>
    <w:p w:rsidR="006C0C6D" w:rsidRPr="006C0C6D" w:rsidRDefault="006C0C6D" w:rsidP="006C0C6D">
      <w:pPr>
        <w:widowControl w:val="0"/>
        <w:tabs>
          <w:tab w:val="left" w:pos="220"/>
          <w:tab w:val="left" w:pos="720"/>
        </w:tabs>
        <w:autoSpaceDE w:val="0"/>
        <w:autoSpaceDN w:val="0"/>
        <w:adjustRightInd w:val="0"/>
        <w:rPr>
          <w:rFonts w:cs="Arial"/>
          <w:sz w:val="20"/>
          <w:szCs w:val="20"/>
          <w:lang w:val="en-US"/>
        </w:rPr>
      </w:pPr>
      <w:hyperlink r:id="rId12" w:history="1">
        <w:r w:rsidRPr="006C0C6D">
          <w:rPr>
            <w:rFonts w:cs="Arial"/>
            <w:color w:val="0000E9"/>
            <w:sz w:val="20"/>
            <w:szCs w:val="20"/>
            <w:u w:val="single"/>
            <w:lang w:val="en-US"/>
          </w:rPr>
          <w:t>CBC backgrounder, Steven Truscott</w:t>
        </w:r>
      </w:hyperlink>
    </w:p>
    <w:p w:rsidR="00205137" w:rsidRPr="006C0C6D" w:rsidRDefault="006C0C6D" w:rsidP="006C0C6D">
      <w:pPr>
        <w:rPr>
          <w:rFonts w:cs="Arial"/>
          <w:color w:val="0000E9"/>
          <w:kern w:val="1"/>
          <w:sz w:val="20"/>
          <w:szCs w:val="20"/>
          <w:lang w:val="en-US"/>
        </w:rPr>
      </w:pPr>
      <w:hyperlink r:id="rId13" w:history="1">
        <w:r w:rsidRPr="006C0C6D">
          <w:rPr>
            <w:rFonts w:cs="Arial"/>
            <w:color w:val="0000E9"/>
            <w:sz w:val="20"/>
            <w:szCs w:val="20"/>
            <w:u w:val="single"/>
            <w:lang w:val="en-US"/>
          </w:rPr>
          <w:t>CBC backgrounder video report, Steven Truscott</w:t>
        </w:r>
      </w:hyperlink>
    </w:p>
    <w:p w:rsidR="006C0C6D" w:rsidRPr="006C0C6D" w:rsidRDefault="006C0C6D" w:rsidP="006C0C6D">
      <w:pPr>
        <w:rPr>
          <w:rFonts w:cs="Arial"/>
          <w:color w:val="0000E9"/>
          <w:kern w:val="1"/>
          <w:sz w:val="20"/>
          <w:szCs w:val="20"/>
          <w:lang w:val="en-US"/>
        </w:rPr>
      </w:pPr>
    </w:p>
    <w:p w:rsidR="006C0C6D" w:rsidRDefault="006C0C6D" w:rsidP="006C0C6D">
      <w:pPr>
        <w:widowControl w:val="0"/>
        <w:autoSpaceDE w:val="0"/>
        <w:autoSpaceDN w:val="0"/>
        <w:adjustRightInd w:val="0"/>
        <w:rPr>
          <w:rFonts w:cs="Arial"/>
          <w:sz w:val="20"/>
          <w:szCs w:val="20"/>
          <w:lang w:val="en-US"/>
        </w:rPr>
      </w:pPr>
      <w:r w:rsidRPr="006C0C6D">
        <w:rPr>
          <w:rFonts w:cs="Arial"/>
          <w:sz w:val="20"/>
          <w:szCs w:val="20"/>
          <w:lang w:val="en-US"/>
        </w:rPr>
        <w:t>This assignment gives you the opportunity to learn more about problems with the criminal justice system in Canada.</w:t>
      </w:r>
    </w:p>
    <w:p w:rsidR="006C0C6D" w:rsidRPr="006C0C6D" w:rsidRDefault="006C0C6D" w:rsidP="006C0C6D">
      <w:pPr>
        <w:widowControl w:val="0"/>
        <w:autoSpaceDE w:val="0"/>
        <w:autoSpaceDN w:val="0"/>
        <w:adjustRightInd w:val="0"/>
        <w:rPr>
          <w:rFonts w:cs="Arial"/>
          <w:sz w:val="20"/>
          <w:szCs w:val="20"/>
          <w:lang w:val="en-US"/>
        </w:rPr>
      </w:pPr>
    </w:p>
    <w:p w:rsidR="006C0C6D" w:rsidRDefault="006C0C6D" w:rsidP="006C0C6D">
      <w:pPr>
        <w:widowControl w:val="0"/>
        <w:autoSpaceDE w:val="0"/>
        <w:autoSpaceDN w:val="0"/>
        <w:adjustRightInd w:val="0"/>
        <w:rPr>
          <w:rFonts w:cs="Arial"/>
          <w:sz w:val="20"/>
          <w:szCs w:val="20"/>
          <w:lang w:val="en-US"/>
        </w:rPr>
      </w:pPr>
      <w:r w:rsidRPr="006C0C6D">
        <w:rPr>
          <w:rFonts w:cs="Arial"/>
          <w:sz w:val="20"/>
          <w:szCs w:val="20"/>
          <w:lang w:val="en-US"/>
        </w:rPr>
        <w:t>Research two wrongful conviction cases that occurred in Canada.</w:t>
      </w:r>
      <w:r>
        <w:rPr>
          <w:rFonts w:cs="Arial"/>
          <w:sz w:val="20"/>
          <w:szCs w:val="20"/>
          <w:lang w:val="en-US"/>
        </w:rPr>
        <w:t xml:space="preserve">  </w:t>
      </w:r>
      <w:r w:rsidRPr="006C0C6D">
        <w:rPr>
          <w:rFonts w:cs="Arial"/>
          <w:sz w:val="20"/>
          <w:szCs w:val="20"/>
          <w:lang w:val="en-US"/>
        </w:rPr>
        <w:t>Prepare a summary of each case using the following as a guideline:</w:t>
      </w:r>
    </w:p>
    <w:p w:rsidR="006C0C6D" w:rsidRDefault="006C0C6D" w:rsidP="006C0C6D">
      <w:pPr>
        <w:widowControl w:val="0"/>
        <w:autoSpaceDE w:val="0"/>
        <w:autoSpaceDN w:val="0"/>
        <w:adjustRightInd w:val="0"/>
        <w:rPr>
          <w:rFonts w:cs="Arial"/>
          <w:sz w:val="20"/>
          <w:szCs w:val="20"/>
          <w:lang w:val="en-US"/>
        </w:rPr>
      </w:pPr>
    </w:p>
    <w:p w:rsidR="006C0C6D" w:rsidRDefault="006C0C6D" w:rsidP="006C0C6D">
      <w:pPr>
        <w:pStyle w:val="ListParagraph"/>
        <w:widowControl w:val="0"/>
        <w:numPr>
          <w:ilvl w:val="0"/>
          <w:numId w:val="2"/>
        </w:numPr>
        <w:autoSpaceDE w:val="0"/>
        <w:autoSpaceDN w:val="0"/>
        <w:adjustRightInd w:val="0"/>
        <w:rPr>
          <w:rFonts w:cs="Arial"/>
          <w:sz w:val="20"/>
          <w:szCs w:val="20"/>
          <w:lang w:val="en-US"/>
        </w:rPr>
      </w:pPr>
      <w:r w:rsidRPr="006C0C6D">
        <w:rPr>
          <w:rFonts w:cs="Arial"/>
          <w:sz w:val="20"/>
          <w:szCs w:val="20"/>
          <w:lang w:val="en-US"/>
        </w:rPr>
        <w:t>Outline the basic details of the incident.</w:t>
      </w:r>
    </w:p>
    <w:p w:rsidR="006C0C6D" w:rsidRDefault="006C0C6D" w:rsidP="006C0C6D">
      <w:pPr>
        <w:pStyle w:val="ListParagraph"/>
        <w:widowControl w:val="0"/>
        <w:numPr>
          <w:ilvl w:val="0"/>
          <w:numId w:val="2"/>
        </w:numPr>
        <w:autoSpaceDE w:val="0"/>
        <w:autoSpaceDN w:val="0"/>
        <w:adjustRightInd w:val="0"/>
        <w:rPr>
          <w:rFonts w:cs="Arial"/>
          <w:sz w:val="20"/>
          <w:szCs w:val="20"/>
          <w:lang w:val="en-US"/>
        </w:rPr>
      </w:pPr>
      <w:r w:rsidRPr="006C0C6D">
        <w:rPr>
          <w:rFonts w:cs="Arial"/>
          <w:sz w:val="20"/>
          <w:szCs w:val="20"/>
          <w:lang w:val="en-US"/>
        </w:rPr>
        <w:t>Who are the key individuals involved i.e. suspects, victim, and investigators?</w:t>
      </w:r>
    </w:p>
    <w:p w:rsidR="006C0C6D" w:rsidRDefault="006C0C6D" w:rsidP="006C0C6D">
      <w:pPr>
        <w:pStyle w:val="ListParagraph"/>
        <w:widowControl w:val="0"/>
        <w:numPr>
          <w:ilvl w:val="0"/>
          <w:numId w:val="2"/>
        </w:numPr>
        <w:autoSpaceDE w:val="0"/>
        <w:autoSpaceDN w:val="0"/>
        <w:adjustRightInd w:val="0"/>
        <w:rPr>
          <w:rFonts w:cs="Arial"/>
          <w:sz w:val="20"/>
          <w:szCs w:val="20"/>
          <w:lang w:val="en-US"/>
        </w:rPr>
      </w:pPr>
      <w:r w:rsidRPr="006C0C6D">
        <w:rPr>
          <w:rFonts w:cs="Arial"/>
          <w:sz w:val="20"/>
          <w:szCs w:val="20"/>
          <w:lang w:val="en-US"/>
        </w:rPr>
        <w:t>Provide a time line of events including trials and eventual release.</w:t>
      </w:r>
    </w:p>
    <w:p w:rsidR="006C0C6D" w:rsidRDefault="006C0C6D" w:rsidP="006C0C6D">
      <w:pPr>
        <w:pStyle w:val="ListParagraph"/>
        <w:widowControl w:val="0"/>
        <w:numPr>
          <w:ilvl w:val="0"/>
          <w:numId w:val="2"/>
        </w:numPr>
        <w:autoSpaceDE w:val="0"/>
        <w:autoSpaceDN w:val="0"/>
        <w:adjustRightInd w:val="0"/>
        <w:rPr>
          <w:rFonts w:cs="Arial"/>
          <w:sz w:val="20"/>
          <w:szCs w:val="20"/>
          <w:lang w:val="en-US"/>
        </w:rPr>
      </w:pPr>
      <w:r w:rsidRPr="006C0C6D">
        <w:rPr>
          <w:rFonts w:cs="Arial"/>
          <w:sz w:val="20"/>
          <w:szCs w:val="20"/>
          <w:lang w:val="en-US"/>
        </w:rPr>
        <w:t>What went wrong?</w:t>
      </w:r>
    </w:p>
    <w:p w:rsidR="006C0C6D" w:rsidRDefault="006C0C6D" w:rsidP="006C0C6D">
      <w:pPr>
        <w:pStyle w:val="ListParagraph"/>
        <w:widowControl w:val="0"/>
        <w:numPr>
          <w:ilvl w:val="0"/>
          <w:numId w:val="2"/>
        </w:numPr>
        <w:autoSpaceDE w:val="0"/>
        <w:autoSpaceDN w:val="0"/>
        <w:adjustRightInd w:val="0"/>
        <w:rPr>
          <w:rFonts w:cs="Arial"/>
          <w:sz w:val="20"/>
          <w:szCs w:val="20"/>
          <w:lang w:val="en-US"/>
        </w:rPr>
      </w:pPr>
      <w:r w:rsidRPr="006C0C6D">
        <w:rPr>
          <w:rFonts w:cs="Arial"/>
          <w:sz w:val="20"/>
          <w:szCs w:val="20"/>
          <w:lang w:val="en-US"/>
        </w:rPr>
        <w:t>When and where did significant errors occur?</w:t>
      </w:r>
    </w:p>
    <w:p w:rsidR="006C0C6D" w:rsidRPr="006C0C6D" w:rsidRDefault="006C0C6D" w:rsidP="006C0C6D">
      <w:pPr>
        <w:pStyle w:val="ListParagraph"/>
        <w:widowControl w:val="0"/>
        <w:numPr>
          <w:ilvl w:val="0"/>
          <w:numId w:val="2"/>
        </w:numPr>
        <w:autoSpaceDE w:val="0"/>
        <w:autoSpaceDN w:val="0"/>
        <w:adjustRightInd w:val="0"/>
        <w:rPr>
          <w:rFonts w:cs="Arial"/>
          <w:sz w:val="20"/>
          <w:szCs w:val="20"/>
          <w:lang w:val="en-US"/>
        </w:rPr>
      </w:pPr>
      <w:r w:rsidRPr="006C0C6D">
        <w:rPr>
          <w:rFonts w:cs="Arial"/>
          <w:sz w:val="20"/>
          <w:szCs w:val="20"/>
          <w:lang w:val="en-US"/>
        </w:rPr>
        <w:t>What does the case teach us about the Canadian criminal justice system?</w:t>
      </w:r>
    </w:p>
    <w:p w:rsidR="006C0C6D" w:rsidRDefault="006C0C6D" w:rsidP="006C0C6D">
      <w:pPr>
        <w:rPr>
          <w:rFonts w:cs="Arial"/>
          <w:sz w:val="20"/>
          <w:szCs w:val="20"/>
          <w:lang w:val="en-US"/>
        </w:rPr>
      </w:pPr>
    </w:p>
    <w:p w:rsidR="006C0C6D" w:rsidRPr="006C0C6D" w:rsidRDefault="006C0C6D" w:rsidP="006C0C6D">
      <w:pPr>
        <w:rPr>
          <w:sz w:val="20"/>
          <w:szCs w:val="20"/>
        </w:rPr>
      </w:pPr>
      <w:bookmarkStart w:id="0" w:name="_GoBack"/>
      <w:bookmarkEnd w:id="0"/>
      <w:r w:rsidRPr="006C0C6D">
        <w:rPr>
          <w:rFonts w:cs="Arial"/>
          <w:sz w:val="20"/>
          <w:szCs w:val="20"/>
          <w:lang w:val="en-US"/>
        </w:rPr>
        <w:t>Write a one-page reflection on what both cases led you to think of concerning criminal law, sentencing, punishment, and reforms.</w:t>
      </w:r>
    </w:p>
    <w:sectPr w:rsidR="006C0C6D" w:rsidRPr="006C0C6D"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666DA6"/>
    <w:multiLevelType w:val="hybridMultilevel"/>
    <w:tmpl w:val="7C068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6D"/>
    <w:rsid w:val="00205137"/>
    <w:rsid w:val="006C0C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C43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C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C6D"/>
    <w:rPr>
      <w:rFonts w:ascii="Lucida Grande" w:hAnsi="Lucida Grande" w:cs="Lucida Grande"/>
      <w:sz w:val="18"/>
      <w:szCs w:val="18"/>
    </w:rPr>
  </w:style>
  <w:style w:type="paragraph" w:styleId="ListParagraph">
    <w:name w:val="List Paragraph"/>
    <w:basedOn w:val="Normal"/>
    <w:uiPriority w:val="34"/>
    <w:qFormat/>
    <w:rsid w:val="006C0C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C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C6D"/>
    <w:rPr>
      <w:rFonts w:ascii="Lucida Grande" w:hAnsi="Lucida Grande" w:cs="Lucida Grande"/>
      <w:sz w:val="18"/>
      <w:szCs w:val="18"/>
    </w:rPr>
  </w:style>
  <w:style w:type="paragraph" w:styleId="ListParagraph">
    <w:name w:val="List Paragraph"/>
    <w:basedOn w:val="Normal"/>
    <w:uiPriority w:val="34"/>
    <w:qFormat/>
    <w:rsid w:val="006C0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rchives.cbc.ca/clip.asp?IDClip=13228&amp;IDCat=334&amp;IDCatPa=260" TargetMode="External"/><Relationship Id="rId12" Type="http://schemas.openxmlformats.org/officeDocument/2006/relationships/hyperlink" Target="http://www.cbc.ca/news/background/truscott/" TargetMode="External"/><Relationship Id="rId13" Type="http://schemas.openxmlformats.org/officeDocument/2006/relationships/hyperlink" Target="http://www.cbc.ca/news/interactives/who-truscot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bc.ca/news/background/wrongfullyconvicted/" TargetMode="External"/><Relationship Id="rId7" Type="http://schemas.openxmlformats.org/officeDocument/2006/relationships/hyperlink" Target="http://www.aidwyc.org/" TargetMode="External"/><Relationship Id="rId8" Type="http://schemas.openxmlformats.org/officeDocument/2006/relationships/hyperlink" Target="http://arcpr.icaap.org/index.php/crpr/article/view/18/17" TargetMode="External"/><Relationship Id="rId9" Type="http://schemas.openxmlformats.org/officeDocument/2006/relationships/hyperlink" Target="http://www.uplink.com.au/lawlibrary/Documents/Docs/Doc52.html" TargetMode="External"/><Relationship Id="rId10" Type="http://schemas.openxmlformats.org/officeDocument/2006/relationships/hyperlink" Target="http://www.cbc.ca/news/background/milgaard/milgaard_inqui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439</Words>
  <Characters>2506</Characters>
  <Application>Microsoft Macintosh Word</Application>
  <DocSecurity>0</DocSecurity>
  <Lines>20</Lines>
  <Paragraphs>5</Paragraphs>
  <ScaleCrop>false</ScaleCrop>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2015-01-08T17:11:00Z</dcterms:created>
  <dcterms:modified xsi:type="dcterms:W3CDTF">2015-01-08T17:15:00Z</dcterms:modified>
</cp:coreProperties>
</file>